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textAlignment w:val="auto"/>
        <w:outlineLvl w:val="9"/>
        <w:rPr>
          <w:rFonts w:ascii="方正小标宋简体" w:hAnsi="Times New Roman" w:eastAsia="方正小标宋简体"/>
          <w:sz w:val="44"/>
          <w:szCs w:val="44"/>
        </w:rPr>
      </w:pPr>
      <w:r>
        <w:rPr>
          <w:rFonts w:hint="eastAsia" w:ascii="仿宋_GB2312" w:hAnsi="宋体" w:eastAsia="仿宋_GB2312" w:cs="宋体"/>
          <w:color w:val="000000"/>
          <w:sz w:val="32"/>
          <w:szCs w:val="32"/>
        </w:rPr>
        <w:t>附件3</w:t>
      </w:r>
      <w:r>
        <w:rPr>
          <w:rFonts w:hint="eastAsia" w:ascii="仿宋_GB2312" w:hAnsi="宋体" w:eastAsia="仿宋_GB2312" w:cs="宋体"/>
          <w:b/>
          <w:color w:val="000000"/>
          <w:sz w:val="32"/>
          <w:szCs w:val="32"/>
        </w:rPr>
        <w:t>：</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ascii="方正小标宋简体" w:hAnsi="Times New Roman" w:eastAsia="方正小标宋简体"/>
          <w:sz w:val="44"/>
          <w:szCs w:val="44"/>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ascii="方正小标宋简体" w:hAnsi="Times New Roman" w:eastAsia="方正小标宋简体"/>
          <w:sz w:val="44"/>
          <w:szCs w:val="44"/>
        </w:rPr>
      </w:pPr>
      <w:r>
        <w:rPr>
          <w:rFonts w:hint="eastAsia" w:ascii="方正小标宋简体" w:hAnsi="Times New Roman" w:eastAsia="方正小标宋简体"/>
          <w:sz w:val="44"/>
          <w:szCs w:val="44"/>
        </w:rPr>
        <w:t>天津市律师协会公职律师公司律师</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ascii="方正小标宋简体" w:hAnsi="Times New Roman" w:eastAsia="方正小标宋简体"/>
          <w:sz w:val="44"/>
          <w:szCs w:val="44"/>
        </w:rPr>
      </w:pPr>
      <w:r>
        <w:rPr>
          <w:rFonts w:hint="eastAsia" w:ascii="方正小标宋简体" w:hAnsi="Times New Roman" w:eastAsia="方正小标宋简体"/>
          <w:sz w:val="44"/>
          <w:szCs w:val="44"/>
        </w:rPr>
        <w:t>会费收取办法（试行）</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ascii="方正小标宋简体" w:hAnsi="Times New Roman" w:eastAsia="方正小标宋简体"/>
          <w:sz w:val="44"/>
          <w:szCs w:val="44"/>
        </w:rPr>
      </w:pPr>
    </w:p>
    <w:p>
      <w:pPr>
        <w:keepNext w:val="0"/>
        <w:keepLines w:val="0"/>
        <w:pageBreakBefore w:val="0"/>
        <w:widowControl/>
        <w:kinsoku/>
        <w:wordWrap/>
        <w:overflowPunct/>
        <w:topLinePunct w:val="0"/>
        <w:autoSpaceDE/>
        <w:autoSpaceDN/>
        <w:bidi w:val="0"/>
        <w:adjustRightInd/>
        <w:snapToGrid w:val="0"/>
        <w:spacing w:line="560" w:lineRule="exact"/>
        <w:textAlignment w:val="auto"/>
        <w:outlineLvl w:val="9"/>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hAnsi="Times New Roman" w:eastAsia="仿宋_GB2312"/>
          <w:b/>
          <w:sz w:val="32"/>
          <w:szCs w:val="32"/>
        </w:rPr>
        <w:t>第一条</w:t>
      </w:r>
      <w:r>
        <w:rPr>
          <w:rFonts w:hint="eastAsia" w:ascii="仿宋_GB2312" w:hAnsi="Times New Roman" w:eastAsia="仿宋_GB2312"/>
          <w:sz w:val="32"/>
          <w:szCs w:val="32"/>
        </w:rPr>
        <w:t xml:space="preserve"> 根据《中华人民共和国律师法》、《天津市律师协会章程》和《天津市律师协会会费管理办法》等有关规定，制定本办法。</w:t>
      </w:r>
      <w:bookmarkStart w:id="0" w:name="_GoBack"/>
      <w:bookmarkEnd w:id="0"/>
    </w:p>
    <w:p>
      <w:pPr>
        <w:keepNext w:val="0"/>
        <w:keepLines w:val="0"/>
        <w:pageBreakBefore w:val="0"/>
        <w:widowControl/>
        <w:kinsoku/>
        <w:wordWrap/>
        <w:overflowPunct/>
        <w:topLinePunct w:val="0"/>
        <w:autoSpaceDE/>
        <w:autoSpaceDN/>
        <w:bidi w:val="0"/>
        <w:adjustRightInd/>
        <w:snapToGrid w:val="0"/>
        <w:spacing w:line="560" w:lineRule="exact"/>
        <w:textAlignment w:val="auto"/>
        <w:outlineLvl w:val="9"/>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hAnsi="Times New Roman" w:eastAsia="仿宋_GB2312"/>
          <w:b/>
          <w:sz w:val="32"/>
          <w:szCs w:val="32"/>
        </w:rPr>
        <w:t xml:space="preserve">  第二条</w:t>
      </w:r>
      <w:r>
        <w:rPr>
          <w:rFonts w:hint="eastAsia" w:ascii="仿宋_GB2312" w:hAnsi="Times New Roman" w:eastAsia="仿宋_GB2312"/>
          <w:sz w:val="32"/>
          <w:szCs w:val="32"/>
        </w:rPr>
        <w:t xml:space="preserve"> 本办法适用于根据《天津市律师协会章程》有关规定，成为律师协会特邀会员的公职律师、公司律师。</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outlineLvl w:val="9"/>
        <w:rPr>
          <w:rFonts w:ascii="仿宋_GB2312" w:hAnsi="Times New Roman" w:eastAsia="仿宋_GB2312"/>
          <w:sz w:val="32"/>
          <w:szCs w:val="32"/>
        </w:rPr>
      </w:pPr>
      <w:r>
        <w:rPr>
          <w:rFonts w:hint="eastAsia" w:ascii="仿宋_GB2312" w:hAnsi="Times New Roman" w:eastAsia="仿宋_GB2312"/>
          <w:b/>
          <w:sz w:val="32"/>
          <w:szCs w:val="32"/>
        </w:rPr>
        <w:t>第三条</w:t>
      </w:r>
      <w:r>
        <w:rPr>
          <w:rFonts w:hint="eastAsia" w:ascii="仿宋_GB2312" w:hAnsi="Times New Roman" w:eastAsia="仿宋_GB2312"/>
          <w:sz w:val="32"/>
          <w:szCs w:val="32"/>
        </w:rPr>
        <w:t xml:space="preserve"> 会费按年度计算和收取，每个自然年度为一个会费年度。</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outlineLvl w:val="9"/>
        <w:rPr>
          <w:rFonts w:ascii="仿宋_GB2312" w:hAnsi="Times New Roman" w:eastAsia="仿宋_GB2312"/>
          <w:sz w:val="32"/>
          <w:szCs w:val="32"/>
        </w:rPr>
      </w:pPr>
      <w:r>
        <w:rPr>
          <w:rFonts w:hint="eastAsia" w:ascii="仿宋_GB2312" w:hAnsi="Times New Roman" w:eastAsia="仿宋_GB2312"/>
          <w:b/>
          <w:sz w:val="32"/>
          <w:szCs w:val="32"/>
        </w:rPr>
        <w:t>第四条</w:t>
      </w:r>
      <w:r>
        <w:rPr>
          <w:rFonts w:hint="eastAsia" w:ascii="仿宋_GB2312" w:hAnsi="Times New Roman" w:eastAsia="仿宋_GB2312"/>
          <w:sz w:val="32"/>
          <w:szCs w:val="32"/>
        </w:rPr>
        <w:t xml:space="preserve"> 年度会费在天津市律师协会规定的时间内集中办理收缴，每一个年度的会费收缴应当在当年律师执业年度考核结束前完成。由于特殊原因未在规定的集中收缴时间办理缴纳会费手续的会员，可以在集中办理时间以外规定的时间内办理缴纳会费手续。</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outlineLvl w:val="9"/>
        <w:rPr>
          <w:rFonts w:ascii="仿宋_GB2312" w:hAnsi="Times New Roman" w:eastAsia="仿宋_GB2312"/>
          <w:sz w:val="32"/>
          <w:szCs w:val="32"/>
        </w:rPr>
      </w:pPr>
      <w:r>
        <w:rPr>
          <w:rFonts w:hint="eastAsia" w:ascii="仿宋_GB2312" w:hAnsi="Times New Roman" w:eastAsia="仿宋_GB2312"/>
          <w:b/>
          <w:sz w:val="32"/>
          <w:szCs w:val="32"/>
        </w:rPr>
        <w:t>第五条</w:t>
      </w:r>
      <w:r>
        <w:rPr>
          <w:rFonts w:hint="eastAsia" w:ascii="仿宋_GB2312" w:hAnsi="Times New Roman" w:eastAsia="仿宋_GB2312"/>
          <w:sz w:val="32"/>
          <w:szCs w:val="32"/>
        </w:rPr>
        <w:t xml:space="preserve"> 年度会费的收缴标准为：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9"/>
        <w:rPr>
          <w:rFonts w:ascii="仿宋_GB2312" w:hAnsi="Times New Roman" w:eastAsia="仿宋_GB2312"/>
          <w:sz w:val="32"/>
          <w:szCs w:val="32"/>
        </w:rPr>
      </w:pPr>
      <w:r>
        <w:rPr>
          <w:rFonts w:hint="eastAsia" w:ascii="仿宋_GB2312" w:hAnsi="Times New Roman" w:eastAsia="仿宋_GB2312"/>
          <w:sz w:val="32"/>
          <w:szCs w:val="32"/>
        </w:rPr>
        <w:t>1.以持有天津市司法局颁发的《律师工作证》的公职律师身份入会的个人会员每人每年度会费为人民币500元；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9"/>
        <w:rPr>
          <w:rFonts w:ascii="仿宋_GB2312" w:hAnsi="Times New Roman" w:eastAsia="仿宋_GB2312"/>
          <w:sz w:val="32"/>
          <w:szCs w:val="32"/>
        </w:rPr>
      </w:pPr>
      <w:r>
        <w:rPr>
          <w:rFonts w:hint="eastAsia" w:ascii="仿宋_GB2312" w:hAnsi="Times New Roman" w:eastAsia="仿宋_GB2312"/>
          <w:sz w:val="32"/>
          <w:szCs w:val="32"/>
        </w:rPr>
        <w:t>2.以持有天津市司法局颁发的《律师工作证》的公司律师身份入会的个人会员每人每年度会费为人民币1500元。</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outlineLvl w:val="9"/>
        <w:rPr>
          <w:rFonts w:ascii="仿宋_GB2312" w:hAnsi="Times New Roman" w:eastAsia="仿宋_GB2312"/>
          <w:sz w:val="32"/>
          <w:szCs w:val="32"/>
        </w:rPr>
      </w:pPr>
      <w:r>
        <w:rPr>
          <w:rFonts w:hint="eastAsia" w:ascii="仿宋_GB2312" w:hAnsi="Times New Roman" w:eastAsia="仿宋_GB2312"/>
          <w:b/>
          <w:sz w:val="32"/>
          <w:szCs w:val="32"/>
        </w:rPr>
        <w:t>第六条</w:t>
      </w:r>
      <w:r>
        <w:rPr>
          <w:rFonts w:hint="eastAsia" w:ascii="仿宋_GB2312" w:hAnsi="Times New Roman" w:eastAsia="仿宋_GB2312"/>
          <w:sz w:val="32"/>
          <w:szCs w:val="32"/>
        </w:rPr>
        <w:t xml:space="preserve"> 每个缴费年度中期入会的公职律师、公司律师，应缴会费金额按月折算，自工作证获准之次月开始计算。</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outlineLvl w:val="9"/>
        <w:rPr>
          <w:rFonts w:ascii="仿宋_GB2312" w:hAnsi="Times New Roman" w:eastAsia="仿宋_GB2312"/>
          <w:sz w:val="32"/>
          <w:szCs w:val="32"/>
        </w:rPr>
      </w:pPr>
      <w:r>
        <w:rPr>
          <w:rFonts w:hint="eastAsia" w:ascii="仿宋_GB2312" w:hAnsi="Times New Roman" w:eastAsia="仿宋_GB2312"/>
          <w:b/>
          <w:sz w:val="32"/>
          <w:szCs w:val="32"/>
        </w:rPr>
        <w:t>第七条</w:t>
      </w:r>
      <w:r>
        <w:rPr>
          <w:rFonts w:hint="eastAsia" w:ascii="仿宋_GB2312" w:hAnsi="Times New Roman" w:eastAsia="仿宋_GB2312"/>
          <w:sz w:val="32"/>
          <w:szCs w:val="32"/>
        </w:rPr>
        <w:t xml:space="preserve"> 年度会费由公职律师、公司律师所在单位统一办理，在本办法规定时间内向天津市律师协会交纳。</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outlineLvl w:val="9"/>
        <w:rPr>
          <w:rFonts w:ascii="仿宋_GB2312" w:hAnsi="Times New Roman" w:eastAsia="仿宋_GB2312"/>
          <w:sz w:val="32"/>
          <w:szCs w:val="32"/>
        </w:rPr>
      </w:pPr>
      <w:r>
        <w:rPr>
          <w:rFonts w:hint="eastAsia" w:ascii="仿宋_GB2312" w:hAnsi="Times New Roman" w:eastAsia="仿宋_GB2312"/>
          <w:b/>
          <w:sz w:val="32"/>
          <w:szCs w:val="32"/>
        </w:rPr>
        <w:t>第八条</w:t>
      </w:r>
      <w:r>
        <w:rPr>
          <w:rFonts w:hint="eastAsia" w:ascii="仿宋_GB2312" w:hAnsi="Times New Roman" w:eastAsia="仿宋_GB2312"/>
          <w:sz w:val="32"/>
          <w:szCs w:val="32"/>
        </w:rPr>
        <w:t xml:space="preserve"> 天津市律师协会收取年度会费后，向会员出具天津市社会团体会费收据，作为收取会费和会员交纳年度会费的凭据。</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outlineLvl w:val="9"/>
        <w:rPr>
          <w:rFonts w:ascii="仿宋_GB2312" w:hAnsi="Times New Roman" w:eastAsia="仿宋_GB2312"/>
          <w:sz w:val="32"/>
          <w:szCs w:val="32"/>
        </w:rPr>
      </w:pPr>
      <w:r>
        <w:rPr>
          <w:rFonts w:hint="eastAsia" w:ascii="仿宋_GB2312" w:hAnsi="Times New Roman" w:eastAsia="仿宋_GB2312"/>
          <w:b/>
          <w:sz w:val="32"/>
          <w:szCs w:val="32"/>
        </w:rPr>
        <w:t>第九条</w:t>
      </w:r>
      <w:r>
        <w:rPr>
          <w:rFonts w:hint="eastAsia" w:ascii="仿宋_GB2312" w:hAnsi="Times New Roman" w:eastAsia="仿宋_GB2312"/>
          <w:sz w:val="32"/>
          <w:szCs w:val="32"/>
        </w:rPr>
        <w:t xml:space="preserve"> 天津市律师协会理事会可根据实际情况决定调整会费的缴纳标准及会费的减免。</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outlineLvl w:val="9"/>
        <w:rPr>
          <w:rFonts w:ascii="仿宋_GB2312" w:hAnsi="Times New Roman" w:eastAsia="仿宋_GB2312"/>
          <w:sz w:val="32"/>
          <w:szCs w:val="32"/>
        </w:rPr>
      </w:pPr>
      <w:r>
        <w:rPr>
          <w:rFonts w:hint="eastAsia" w:ascii="仿宋_GB2312" w:hAnsi="Times New Roman" w:eastAsia="仿宋_GB2312"/>
          <w:b/>
          <w:sz w:val="32"/>
          <w:szCs w:val="32"/>
        </w:rPr>
        <w:t xml:space="preserve">第十条  </w:t>
      </w:r>
      <w:r>
        <w:rPr>
          <w:rFonts w:hint="eastAsia" w:ascii="仿宋_GB2312" w:hAnsi="Times New Roman" w:eastAsia="仿宋_GB2312"/>
          <w:sz w:val="32"/>
          <w:szCs w:val="32"/>
        </w:rPr>
        <w:t>本办法由天津市律师协会理事会负责解释。</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outlineLvl w:val="9"/>
        <w:rPr>
          <w:rFonts w:ascii="仿宋_GB2312" w:eastAsia="仿宋_GB2312"/>
          <w:sz w:val="32"/>
          <w:szCs w:val="32"/>
        </w:rPr>
      </w:pPr>
      <w:r>
        <w:rPr>
          <w:rFonts w:hint="eastAsia" w:ascii="仿宋_GB2312" w:hAnsi="Times New Roman" w:eastAsia="仿宋_GB2312"/>
          <w:b/>
          <w:sz w:val="32"/>
          <w:szCs w:val="32"/>
        </w:rPr>
        <w:t>第十一条</w:t>
      </w:r>
      <w:r>
        <w:rPr>
          <w:rFonts w:hint="eastAsia" w:ascii="仿宋_GB2312" w:hAnsi="Times New Roman" w:eastAsia="仿宋_GB2312"/>
          <w:sz w:val="32"/>
          <w:szCs w:val="32"/>
        </w:rPr>
        <w:t xml:space="preserve"> </w:t>
      </w:r>
      <w:r>
        <w:rPr>
          <w:rFonts w:hint="eastAsia" w:ascii="仿宋_GB2312" w:hAnsi="仿宋" w:eastAsia="仿宋_GB2312" w:cs="仿宋"/>
          <w:sz w:val="32"/>
          <w:szCs w:val="32"/>
        </w:rPr>
        <w:t>本办法</w:t>
      </w:r>
      <w:r>
        <w:rPr>
          <w:rFonts w:hint="eastAsia" w:ascii="仿宋_GB2312" w:hAnsi="仿宋_GB2312" w:eastAsia="仿宋_GB2312" w:cs="仿宋_GB2312"/>
          <w:color w:val="000000"/>
          <w:sz w:val="32"/>
          <w:szCs w:val="32"/>
        </w:rPr>
        <w:t>由天津市律师协会理事会审议通过，自发布之日起实施。</w:t>
      </w:r>
    </w:p>
    <w:sectPr>
      <w:footerReference r:id="rId3" w:type="default"/>
      <w:footerReference r:id="rId4"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315A"/>
    <w:rsid w:val="00003C45"/>
    <w:rsid w:val="00013D01"/>
    <w:rsid w:val="00023581"/>
    <w:rsid w:val="00030D87"/>
    <w:rsid w:val="00033458"/>
    <w:rsid w:val="0003376B"/>
    <w:rsid w:val="000477DD"/>
    <w:rsid w:val="00063F15"/>
    <w:rsid w:val="0006401B"/>
    <w:rsid w:val="0006633F"/>
    <w:rsid w:val="00081088"/>
    <w:rsid w:val="00092CBF"/>
    <w:rsid w:val="000A5430"/>
    <w:rsid w:val="000A57BB"/>
    <w:rsid w:val="000D268B"/>
    <w:rsid w:val="000F0F27"/>
    <w:rsid w:val="000F1E39"/>
    <w:rsid w:val="000F29AF"/>
    <w:rsid w:val="000F5199"/>
    <w:rsid w:val="000F550D"/>
    <w:rsid w:val="00104DB0"/>
    <w:rsid w:val="001061C7"/>
    <w:rsid w:val="00110404"/>
    <w:rsid w:val="00117E4F"/>
    <w:rsid w:val="001278C7"/>
    <w:rsid w:val="00130264"/>
    <w:rsid w:val="001324C5"/>
    <w:rsid w:val="001370D1"/>
    <w:rsid w:val="0014581A"/>
    <w:rsid w:val="0015268D"/>
    <w:rsid w:val="00153457"/>
    <w:rsid w:val="00170140"/>
    <w:rsid w:val="0018427B"/>
    <w:rsid w:val="001943F1"/>
    <w:rsid w:val="001A6827"/>
    <w:rsid w:val="001A6941"/>
    <w:rsid w:val="001B1BB6"/>
    <w:rsid w:val="001E09DB"/>
    <w:rsid w:val="001F4343"/>
    <w:rsid w:val="002039DA"/>
    <w:rsid w:val="00203A64"/>
    <w:rsid w:val="00207214"/>
    <w:rsid w:val="00211E97"/>
    <w:rsid w:val="002201D9"/>
    <w:rsid w:val="00226323"/>
    <w:rsid w:val="002309BE"/>
    <w:rsid w:val="00231E98"/>
    <w:rsid w:val="00257738"/>
    <w:rsid w:val="00265FAD"/>
    <w:rsid w:val="00284F4D"/>
    <w:rsid w:val="002A00FA"/>
    <w:rsid w:val="002A0262"/>
    <w:rsid w:val="002A301A"/>
    <w:rsid w:val="002A60E3"/>
    <w:rsid w:val="002B411C"/>
    <w:rsid w:val="002B6161"/>
    <w:rsid w:val="002D0886"/>
    <w:rsid w:val="002D2FDE"/>
    <w:rsid w:val="002D6308"/>
    <w:rsid w:val="002E34BD"/>
    <w:rsid w:val="00307D4B"/>
    <w:rsid w:val="00323962"/>
    <w:rsid w:val="00331164"/>
    <w:rsid w:val="00332608"/>
    <w:rsid w:val="00343605"/>
    <w:rsid w:val="0035619C"/>
    <w:rsid w:val="003634D6"/>
    <w:rsid w:val="00366CC6"/>
    <w:rsid w:val="00374656"/>
    <w:rsid w:val="0038118F"/>
    <w:rsid w:val="003852CD"/>
    <w:rsid w:val="003A11D9"/>
    <w:rsid w:val="003C6079"/>
    <w:rsid w:val="003C75D6"/>
    <w:rsid w:val="003D4CC2"/>
    <w:rsid w:val="003D60C9"/>
    <w:rsid w:val="003E1698"/>
    <w:rsid w:val="003E1BB4"/>
    <w:rsid w:val="003E1C23"/>
    <w:rsid w:val="003F71BF"/>
    <w:rsid w:val="00404C0E"/>
    <w:rsid w:val="00415AAF"/>
    <w:rsid w:val="00416EB8"/>
    <w:rsid w:val="00437E7C"/>
    <w:rsid w:val="0045718B"/>
    <w:rsid w:val="00457BC1"/>
    <w:rsid w:val="004636AC"/>
    <w:rsid w:val="00483C0F"/>
    <w:rsid w:val="004854DB"/>
    <w:rsid w:val="004976D3"/>
    <w:rsid w:val="00497F8C"/>
    <w:rsid w:val="004A2A42"/>
    <w:rsid w:val="004A4153"/>
    <w:rsid w:val="004A6DEF"/>
    <w:rsid w:val="004B7526"/>
    <w:rsid w:val="004C2517"/>
    <w:rsid w:val="004C66EC"/>
    <w:rsid w:val="004D0D0F"/>
    <w:rsid w:val="004D2016"/>
    <w:rsid w:val="004D7BBA"/>
    <w:rsid w:val="004E7A56"/>
    <w:rsid w:val="004F19FD"/>
    <w:rsid w:val="004F4A9C"/>
    <w:rsid w:val="00501FDC"/>
    <w:rsid w:val="00503431"/>
    <w:rsid w:val="00503448"/>
    <w:rsid w:val="00507138"/>
    <w:rsid w:val="00514A6C"/>
    <w:rsid w:val="00515521"/>
    <w:rsid w:val="00530BC2"/>
    <w:rsid w:val="005351A8"/>
    <w:rsid w:val="00544BE6"/>
    <w:rsid w:val="00545B7F"/>
    <w:rsid w:val="005503E7"/>
    <w:rsid w:val="00566A91"/>
    <w:rsid w:val="00571F04"/>
    <w:rsid w:val="005856EE"/>
    <w:rsid w:val="00585AD9"/>
    <w:rsid w:val="005877D0"/>
    <w:rsid w:val="005A113D"/>
    <w:rsid w:val="005A317B"/>
    <w:rsid w:val="005B029A"/>
    <w:rsid w:val="005B2965"/>
    <w:rsid w:val="005C059A"/>
    <w:rsid w:val="005D12CE"/>
    <w:rsid w:val="005D4227"/>
    <w:rsid w:val="005F261A"/>
    <w:rsid w:val="00601A34"/>
    <w:rsid w:val="00627F17"/>
    <w:rsid w:val="00636041"/>
    <w:rsid w:val="006362EE"/>
    <w:rsid w:val="00636F1A"/>
    <w:rsid w:val="0064179E"/>
    <w:rsid w:val="00645191"/>
    <w:rsid w:val="00661FD9"/>
    <w:rsid w:val="006752BA"/>
    <w:rsid w:val="006773AC"/>
    <w:rsid w:val="00680E5E"/>
    <w:rsid w:val="00693B4F"/>
    <w:rsid w:val="006954BB"/>
    <w:rsid w:val="006A09D1"/>
    <w:rsid w:val="006C01AE"/>
    <w:rsid w:val="006C3364"/>
    <w:rsid w:val="006C4BB7"/>
    <w:rsid w:val="006C6701"/>
    <w:rsid w:val="006D220B"/>
    <w:rsid w:val="006F0B51"/>
    <w:rsid w:val="00700FA4"/>
    <w:rsid w:val="00702EB3"/>
    <w:rsid w:val="00703515"/>
    <w:rsid w:val="00705B58"/>
    <w:rsid w:val="00710BB1"/>
    <w:rsid w:val="0071349D"/>
    <w:rsid w:val="00717516"/>
    <w:rsid w:val="007350A0"/>
    <w:rsid w:val="00740BA3"/>
    <w:rsid w:val="00753286"/>
    <w:rsid w:val="007705DF"/>
    <w:rsid w:val="007858EA"/>
    <w:rsid w:val="007B04EB"/>
    <w:rsid w:val="007B07CE"/>
    <w:rsid w:val="007B0EC9"/>
    <w:rsid w:val="007B1FA5"/>
    <w:rsid w:val="007B5295"/>
    <w:rsid w:val="007B6FCA"/>
    <w:rsid w:val="007C4816"/>
    <w:rsid w:val="00801F8C"/>
    <w:rsid w:val="00802E82"/>
    <w:rsid w:val="008072AA"/>
    <w:rsid w:val="008179AA"/>
    <w:rsid w:val="008370B1"/>
    <w:rsid w:val="008376B8"/>
    <w:rsid w:val="008378AF"/>
    <w:rsid w:val="008412C5"/>
    <w:rsid w:val="00843F2A"/>
    <w:rsid w:val="0085006C"/>
    <w:rsid w:val="008531CD"/>
    <w:rsid w:val="0085473A"/>
    <w:rsid w:val="0085574D"/>
    <w:rsid w:val="00865FD0"/>
    <w:rsid w:val="00867237"/>
    <w:rsid w:val="00870605"/>
    <w:rsid w:val="00874ABF"/>
    <w:rsid w:val="00881BF0"/>
    <w:rsid w:val="00891228"/>
    <w:rsid w:val="00897791"/>
    <w:rsid w:val="008A23E4"/>
    <w:rsid w:val="008A7AD1"/>
    <w:rsid w:val="008B5200"/>
    <w:rsid w:val="008C638E"/>
    <w:rsid w:val="008D29DE"/>
    <w:rsid w:val="008D5957"/>
    <w:rsid w:val="008F4711"/>
    <w:rsid w:val="008F540C"/>
    <w:rsid w:val="008F766F"/>
    <w:rsid w:val="0093549F"/>
    <w:rsid w:val="009500BE"/>
    <w:rsid w:val="009521D4"/>
    <w:rsid w:val="00954A60"/>
    <w:rsid w:val="009560E1"/>
    <w:rsid w:val="009627A3"/>
    <w:rsid w:val="00974E1B"/>
    <w:rsid w:val="009827FE"/>
    <w:rsid w:val="00991AE7"/>
    <w:rsid w:val="009942A5"/>
    <w:rsid w:val="009B7E80"/>
    <w:rsid w:val="009C06B2"/>
    <w:rsid w:val="009C2722"/>
    <w:rsid w:val="009C4E0C"/>
    <w:rsid w:val="009D4B3F"/>
    <w:rsid w:val="009D7D7D"/>
    <w:rsid w:val="009E0BD6"/>
    <w:rsid w:val="009F5CAC"/>
    <w:rsid w:val="009F628A"/>
    <w:rsid w:val="00A02378"/>
    <w:rsid w:val="00A0584D"/>
    <w:rsid w:val="00A12585"/>
    <w:rsid w:val="00A15173"/>
    <w:rsid w:val="00A159C3"/>
    <w:rsid w:val="00A205FF"/>
    <w:rsid w:val="00A2404A"/>
    <w:rsid w:val="00A36B55"/>
    <w:rsid w:val="00A44A7A"/>
    <w:rsid w:val="00A53C5C"/>
    <w:rsid w:val="00A561FE"/>
    <w:rsid w:val="00A56A44"/>
    <w:rsid w:val="00A7007D"/>
    <w:rsid w:val="00A74BCD"/>
    <w:rsid w:val="00A74E8C"/>
    <w:rsid w:val="00A752C3"/>
    <w:rsid w:val="00A8148F"/>
    <w:rsid w:val="00A81969"/>
    <w:rsid w:val="00A851D3"/>
    <w:rsid w:val="00A94936"/>
    <w:rsid w:val="00A94B98"/>
    <w:rsid w:val="00A94D14"/>
    <w:rsid w:val="00A96D9F"/>
    <w:rsid w:val="00AA38B8"/>
    <w:rsid w:val="00AA5542"/>
    <w:rsid w:val="00AB08FD"/>
    <w:rsid w:val="00AB4A40"/>
    <w:rsid w:val="00AC731B"/>
    <w:rsid w:val="00AE28D9"/>
    <w:rsid w:val="00AE3B71"/>
    <w:rsid w:val="00AE4877"/>
    <w:rsid w:val="00AE7C1B"/>
    <w:rsid w:val="00B02D9D"/>
    <w:rsid w:val="00B0600D"/>
    <w:rsid w:val="00B07B67"/>
    <w:rsid w:val="00B171EA"/>
    <w:rsid w:val="00B25655"/>
    <w:rsid w:val="00B2702B"/>
    <w:rsid w:val="00B34B22"/>
    <w:rsid w:val="00B34B43"/>
    <w:rsid w:val="00B35D04"/>
    <w:rsid w:val="00B44A83"/>
    <w:rsid w:val="00B51B31"/>
    <w:rsid w:val="00B665F0"/>
    <w:rsid w:val="00B71C52"/>
    <w:rsid w:val="00B77275"/>
    <w:rsid w:val="00B807F6"/>
    <w:rsid w:val="00B85FA1"/>
    <w:rsid w:val="00B8636C"/>
    <w:rsid w:val="00B9759A"/>
    <w:rsid w:val="00BA4821"/>
    <w:rsid w:val="00BB03F8"/>
    <w:rsid w:val="00BC078D"/>
    <w:rsid w:val="00BC6BC2"/>
    <w:rsid w:val="00BD488D"/>
    <w:rsid w:val="00BD71E5"/>
    <w:rsid w:val="00C250D8"/>
    <w:rsid w:val="00C32628"/>
    <w:rsid w:val="00C34664"/>
    <w:rsid w:val="00C34D26"/>
    <w:rsid w:val="00C431DD"/>
    <w:rsid w:val="00C51163"/>
    <w:rsid w:val="00C513F8"/>
    <w:rsid w:val="00C610C9"/>
    <w:rsid w:val="00C71DCE"/>
    <w:rsid w:val="00C76431"/>
    <w:rsid w:val="00C83D98"/>
    <w:rsid w:val="00CB186A"/>
    <w:rsid w:val="00CB2EDF"/>
    <w:rsid w:val="00CB783E"/>
    <w:rsid w:val="00CC48EB"/>
    <w:rsid w:val="00CC7E0C"/>
    <w:rsid w:val="00CD08A7"/>
    <w:rsid w:val="00CD3FB8"/>
    <w:rsid w:val="00CE185B"/>
    <w:rsid w:val="00CE51AF"/>
    <w:rsid w:val="00CF0B78"/>
    <w:rsid w:val="00CF7410"/>
    <w:rsid w:val="00D029BB"/>
    <w:rsid w:val="00D12A9F"/>
    <w:rsid w:val="00D14E07"/>
    <w:rsid w:val="00D22401"/>
    <w:rsid w:val="00D25360"/>
    <w:rsid w:val="00D260CB"/>
    <w:rsid w:val="00D40D37"/>
    <w:rsid w:val="00D42144"/>
    <w:rsid w:val="00D42BAF"/>
    <w:rsid w:val="00D7768F"/>
    <w:rsid w:val="00D77876"/>
    <w:rsid w:val="00D80C48"/>
    <w:rsid w:val="00D860C7"/>
    <w:rsid w:val="00DA11B5"/>
    <w:rsid w:val="00DC77C3"/>
    <w:rsid w:val="00DD6685"/>
    <w:rsid w:val="00DF426C"/>
    <w:rsid w:val="00E00889"/>
    <w:rsid w:val="00E00DF0"/>
    <w:rsid w:val="00E024B4"/>
    <w:rsid w:val="00E039EE"/>
    <w:rsid w:val="00E159D4"/>
    <w:rsid w:val="00E15FFD"/>
    <w:rsid w:val="00E21262"/>
    <w:rsid w:val="00E328E6"/>
    <w:rsid w:val="00E44C9D"/>
    <w:rsid w:val="00E453E7"/>
    <w:rsid w:val="00E51146"/>
    <w:rsid w:val="00E5585B"/>
    <w:rsid w:val="00E67416"/>
    <w:rsid w:val="00E718E8"/>
    <w:rsid w:val="00E74F3C"/>
    <w:rsid w:val="00E80313"/>
    <w:rsid w:val="00E8428D"/>
    <w:rsid w:val="00E86564"/>
    <w:rsid w:val="00E90F51"/>
    <w:rsid w:val="00E94FF7"/>
    <w:rsid w:val="00E95D88"/>
    <w:rsid w:val="00EA1773"/>
    <w:rsid w:val="00EB18A8"/>
    <w:rsid w:val="00EB305B"/>
    <w:rsid w:val="00EB5CE0"/>
    <w:rsid w:val="00EC0426"/>
    <w:rsid w:val="00EC698F"/>
    <w:rsid w:val="00EC6D76"/>
    <w:rsid w:val="00ED3665"/>
    <w:rsid w:val="00EE178C"/>
    <w:rsid w:val="00EE315A"/>
    <w:rsid w:val="00F011C7"/>
    <w:rsid w:val="00F02604"/>
    <w:rsid w:val="00F0269D"/>
    <w:rsid w:val="00F157D3"/>
    <w:rsid w:val="00F15B12"/>
    <w:rsid w:val="00F1761D"/>
    <w:rsid w:val="00F2789A"/>
    <w:rsid w:val="00F4064B"/>
    <w:rsid w:val="00F42EA0"/>
    <w:rsid w:val="00F43616"/>
    <w:rsid w:val="00F44E2C"/>
    <w:rsid w:val="00F51E45"/>
    <w:rsid w:val="00F5485A"/>
    <w:rsid w:val="00F66121"/>
    <w:rsid w:val="00F80D96"/>
    <w:rsid w:val="00F82C58"/>
    <w:rsid w:val="00F873A3"/>
    <w:rsid w:val="00F875AE"/>
    <w:rsid w:val="00FC1850"/>
    <w:rsid w:val="00FC2DE4"/>
    <w:rsid w:val="00FC6734"/>
    <w:rsid w:val="00FC6773"/>
    <w:rsid w:val="00FC6900"/>
    <w:rsid w:val="00FC77A6"/>
    <w:rsid w:val="00FD3002"/>
    <w:rsid w:val="00FD469B"/>
    <w:rsid w:val="00FD5936"/>
    <w:rsid w:val="00FE0447"/>
    <w:rsid w:val="15EB0FF3"/>
    <w:rsid w:val="16AE737C"/>
    <w:rsid w:val="7B9D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adjustRightInd w:val="0"/>
      <w:snapToGrid w:val="0"/>
      <w:spacing w:before="260" w:after="260" w:line="416" w:lineRule="auto"/>
      <w:outlineLvl w:val="1"/>
    </w:pPr>
    <w:rPr>
      <w:rFonts w:ascii="Calibri Light" w:hAnsi="Calibri Light" w:eastAsia="宋体"/>
      <w:b/>
      <w:bCs/>
      <w:sz w:val="32"/>
      <w:szCs w:val="32"/>
    </w:rPr>
  </w:style>
  <w:style w:type="paragraph" w:styleId="4">
    <w:name w:val="heading 3"/>
    <w:basedOn w:val="1"/>
    <w:next w:val="1"/>
    <w:qFormat/>
    <w:uiPriority w:val="0"/>
    <w:pPr>
      <w:keepNext/>
      <w:keepLines/>
      <w:adjustRightInd w:val="0"/>
      <w:snapToGrid w:val="0"/>
      <w:spacing w:before="260" w:after="260" w:line="416" w:lineRule="auto"/>
      <w:outlineLvl w:val="2"/>
    </w:pPr>
    <w:rPr>
      <w:rFonts w:ascii="Tahoma" w:hAnsi="Tahoma" w:eastAsia="微软雅黑"/>
      <w:b/>
      <w:bCs/>
      <w:sz w:val="32"/>
      <w:szCs w:val="32"/>
    </w:rPr>
  </w:style>
  <w:style w:type="character" w:default="1" w:styleId="13">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qFormat/>
    <w:uiPriority w:val="0"/>
    <w:pPr>
      <w:adjustRightInd w:val="0"/>
      <w:snapToGrid w:val="0"/>
      <w:spacing w:after="200"/>
      <w:ind w:left="840" w:leftChars="400"/>
    </w:pPr>
    <w:rPr>
      <w:rFonts w:ascii="Tahoma" w:hAnsi="Tahoma" w:eastAsia="微软雅黑"/>
      <w:sz w:val="22"/>
      <w:szCs w:val="22"/>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adjustRightInd w:val="0"/>
      <w:snapToGrid w:val="0"/>
      <w:spacing w:after="200"/>
    </w:pPr>
    <w:rPr>
      <w:rFonts w:ascii="Tahoma" w:hAnsi="Tahoma" w:eastAsia="微软雅黑"/>
      <w:sz w:val="22"/>
      <w:szCs w:val="22"/>
    </w:rPr>
  </w:style>
  <w:style w:type="paragraph" w:styleId="11">
    <w:name w:val="toc 2"/>
    <w:basedOn w:val="1"/>
    <w:next w:val="1"/>
    <w:qFormat/>
    <w:uiPriority w:val="0"/>
    <w:pPr>
      <w:adjustRightInd w:val="0"/>
      <w:snapToGrid w:val="0"/>
      <w:spacing w:after="200"/>
      <w:ind w:left="420" w:leftChars="200"/>
    </w:pPr>
    <w:rPr>
      <w:rFonts w:ascii="Tahoma" w:hAnsi="Tahoma" w:eastAsia="微软雅黑"/>
      <w:sz w:val="22"/>
      <w:szCs w:val="22"/>
    </w:rPr>
  </w:style>
  <w:style w:type="paragraph" w:styleId="12">
    <w:name w:val="Normal (Web)"/>
    <w:basedOn w:val="1"/>
    <w:qFormat/>
    <w:uiPriority w:val="0"/>
    <w:pPr>
      <w:spacing w:before="100" w:beforeAutospacing="1" w:after="100" w:afterAutospacing="1"/>
    </w:pPr>
    <w:rPr>
      <w:rFonts w:ascii="宋体" w:hAnsi="宋体" w:eastAsia="宋体" w:cs="宋体"/>
      <w:sz w:val="24"/>
      <w:szCs w:val="24"/>
    </w:rPr>
  </w:style>
  <w:style w:type="character" w:styleId="14">
    <w:name w:val="page number"/>
    <w:basedOn w:val="13"/>
    <w:uiPriority w:val="0"/>
  </w:style>
  <w:style w:type="character" w:styleId="15">
    <w:name w:val="FollowedHyperlink"/>
    <w:basedOn w:val="13"/>
    <w:uiPriority w:val="0"/>
    <w:rPr>
      <w:color w:val="954F72"/>
      <w:u w:val="single"/>
    </w:rPr>
  </w:style>
  <w:style w:type="character" w:styleId="16">
    <w:name w:val="Hyperlink"/>
    <w:uiPriority w:val="0"/>
    <w:rPr>
      <w:color w:val="0000FF"/>
      <w:u w:val="single"/>
    </w:rPr>
  </w:style>
  <w:style w:type="paragraph" w:customStyle="1" w:styleId="18">
    <w:name w:val="TOC 标题1"/>
    <w:basedOn w:val="2"/>
    <w:next w:val="1"/>
    <w:unhideWhenUsed/>
    <w:qFormat/>
    <w:uiPriority w:val="0"/>
    <w:pPr>
      <w:spacing w:before="480" w:after="0" w:line="276" w:lineRule="auto"/>
      <w:outlineLvl w:val="9"/>
    </w:pPr>
    <w:rPr>
      <w:rFonts w:ascii="Calibri Light" w:hAnsi="Calibri Light" w:eastAsia="宋体"/>
      <w:color w:val="2E75B5"/>
      <w:kern w:val="0"/>
      <w:sz w:val="28"/>
      <w:szCs w:val="28"/>
    </w:rPr>
  </w:style>
  <w:style w:type="paragraph" w:customStyle="1" w:styleId="19">
    <w:name w:val="列出段落1"/>
    <w:basedOn w:val="1"/>
    <w:qFormat/>
    <w:uiPriority w:val="0"/>
    <w:pPr>
      <w:adjustRightInd w:val="0"/>
      <w:snapToGrid w:val="0"/>
      <w:spacing w:after="200"/>
      <w:ind w:firstLine="420" w:firstLineChars="200"/>
    </w:pPr>
    <w:rPr>
      <w:rFonts w:ascii="Tahoma" w:hAnsi="Tahoma" w:eastAsia="微软雅黑"/>
      <w:sz w:val="22"/>
      <w:szCs w:val="22"/>
    </w:rPr>
  </w:style>
  <w:style w:type="paragraph" w:customStyle="1" w:styleId="20">
    <w:name w:val="列出段落11"/>
    <w:basedOn w:val="1"/>
    <w:qFormat/>
    <w:uiPriority w:val="0"/>
    <w:pPr>
      <w:widowControl w:val="0"/>
      <w:ind w:firstLine="420" w:firstLineChars="200"/>
      <w:jc w:val="both"/>
    </w:pPr>
    <w:rPr>
      <w:rFonts w:eastAsia="宋体"/>
      <w:kern w:val="2"/>
      <w:sz w:val="21"/>
      <w:szCs w:val="22"/>
    </w:rPr>
  </w:style>
  <w:style w:type="paragraph" w:customStyle="1" w:styleId="21">
    <w:name w:val="Char"/>
    <w:basedOn w:val="1"/>
    <w:qFormat/>
    <w:uiPriority w:val="0"/>
    <w:pPr>
      <w:spacing w:after="160" w:line="240" w:lineRule="exact"/>
    </w:pPr>
    <w:rPr>
      <w:rFonts w:ascii="Verdana" w:hAnsi="Verdana" w:eastAsia="仿宋_GB2312"/>
      <w:sz w:val="24"/>
      <w:lang w:eastAsia="en-US"/>
    </w:rPr>
  </w:style>
  <w:style w:type="character" w:customStyle="1" w:styleId="22">
    <w:name w:val="页眉 Char"/>
    <w:basedOn w:val="13"/>
    <w:link w:val="9"/>
    <w:qFormat/>
    <w:uiPriority w:val="0"/>
    <w:rPr>
      <w:rFonts w:ascii="Calibri" w:hAnsi="Calibri" w:eastAsia="Calibri"/>
      <w:sz w:val="18"/>
      <w:szCs w:val="18"/>
    </w:rPr>
  </w:style>
  <w:style w:type="paragraph" w:customStyle="1" w:styleId="23">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Times New Roman"/>
      <w:color w:val="000000"/>
      <w:kern w:val="2"/>
      <w:sz w:val="32"/>
      <w:szCs w:val="32"/>
      <w:u w:color="000000"/>
      <w:lang w:val="en-US" w:eastAsia="zh-CN" w:bidi="ar-SA"/>
    </w:rPr>
  </w:style>
  <w:style w:type="paragraph" w:styleId="24">
    <w:name w:val="List Paragraph"/>
    <w:basedOn w:val="1"/>
    <w:qFormat/>
    <w:uiPriority w:val="34"/>
    <w:pPr>
      <w:ind w:firstLine="420" w:firstLineChars="200"/>
    </w:pPr>
  </w:style>
  <w:style w:type="paragraph" w:styleId="25">
    <w:name w:val="No Spacing"/>
    <w:qFormat/>
    <w:uiPriority w:val="1"/>
    <w:rPr>
      <w:rFonts w:ascii="Calibri" w:hAnsi="Calibri" w:eastAsia="Calibri"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CE04F-F7F3-4175-B92E-BB06397F52F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100</Words>
  <Characters>570</Characters>
  <Lines>4</Lines>
  <Paragraphs>1</Paragraphs>
  <TotalTime>1</TotalTime>
  <ScaleCrop>false</ScaleCrop>
  <LinksUpToDate>false</LinksUpToDate>
  <CharactersWithSpaces>669</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2020-03-10T00:54:00Z</dcterms:created>
  <dc:creator>User</dc:creator>
  <cp:lastModifiedBy>edw</cp:lastModifiedBy>
  <cp:lastPrinted>2020-02-24T02:01:00Z</cp:lastPrinted>
  <dcterms:modified xsi:type="dcterms:W3CDTF">2021-03-04T01:49:14Z</dcterms:modified>
  <dc:title>天津市律师协会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