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预约方式</w:t>
      </w:r>
    </w:p>
    <w:p>
      <w:pPr>
        <w:numPr>
          <w:ilvl w:val="0"/>
          <w:numId w:val="2"/>
        </w:numPr>
        <w:rPr>
          <w:rStyle w:val="12"/>
          <w:rFonts w:ascii="黑体" w:hAnsi="黑体" w:eastAsia="黑体" w:cs="黑体"/>
          <w:bCs/>
          <w:i w:val="0"/>
          <w:color w:val="auto"/>
          <w:sz w:val="24"/>
          <w:szCs w:val="24"/>
        </w:rPr>
      </w:pPr>
      <w:r>
        <w:rPr>
          <w:rStyle w:val="12"/>
          <w:rFonts w:hint="eastAsia" w:ascii="黑体" w:hAnsi="黑体" w:eastAsia="黑体" w:cs="黑体"/>
          <w:bCs/>
          <w:i w:val="0"/>
          <w:color w:val="auto"/>
          <w:sz w:val="24"/>
          <w:szCs w:val="24"/>
        </w:rPr>
        <w:t>美年各门店每天有15-20人免排期体检名额，为避免体检当天排期名额已满无法提供服务，至少提前1天咨询预约体检，可通过健康顾问咨询预约即可。</w:t>
      </w:r>
    </w:p>
    <w:p>
      <w:pPr>
        <w:numPr>
          <w:ilvl w:val="0"/>
          <w:numId w:val="2"/>
        </w:numPr>
        <w:rPr>
          <w:rStyle w:val="12"/>
          <w:rFonts w:ascii="黑体" w:hAnsi="黑体" w:eastAsia="黑体" w:cs="黑体"/>
          <w:bCs/>
          <w:i w:val="0"/>
          <w:color w:val="auto"/>
          <w:sz w:val="24"/>
          <w:szCs w:val="24"/>
        </w:rPr>
      </w:pPr>
      <w:r>
        <w:rPr>
          <w:rStyle w:val="12"/>
          <w:rFonts w:hint="eastAsia" w:ascii="黑体" w:hAnsi="黑体" w:eastAsia="黑体" w:cs="黑体"/>
          <w:bCs/>
          <w:i w:val="0"/>
          <w:color w:val="auto"/>
          <w:sz w:val="24"/>
          <w:szCs w:val="24"/>
        </w:rPr>
        <w:t>通过美年预约热线400-630-3999</w:t>
      </w:r>
    </w:p>
    <w:p>
      <w:pPr>
        <w:numPr>
          <w:ilvl w:val="0"/>
          <w:numId w:val="2"/>
        </w:numPr>
      </w:pPr>
      <w:r>
        <w:rPr>
          <w:rStyle w:val="8"/>
          <w:rFonts w:hint="eastAsia" w:ascii="黑体" w:hAnsi="黑体" w:eastAsia="黑体" w:cs="黑体"/>
          <w:bCs/>
          <w:i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PC端进行预约</w:t>
      </w:r>
      <w:r>
        <w:fldChar w:fldCharType="begin"/>
      </w:r>
      <w:r>
        <w:instrText xml:space="preserve"> HYPERLINK "http://www.health-100.cn进行预约，"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bCs/>
          <w:i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www.health-100.cn</w:t>
      </w:r>
      <w:r>
        <w:rPr>
          <w:rStyle w:val="8"/>
          <w:rFonts w:hint="eastAsia" w:ascii="黑体" w:hAnsi="黑体" w:eastAsia="黑体" w:cs="黑体"/>
          <w:bCs/>
          <w:i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2"/>
        </w:numPr>
        <w:rPr>
          <w:rStyle w:val="12"/>
          <w:rFonts w:hint="eastAsia" w:cstheme="minorBidi"/>
          <w:i w:val="0"/>
          <w:iCs w:val="0"/>
          <w:color w:val="auto"/>
        </w:rPr>
      </w:pPr>
      <w:r>
        <w:rPr>
          <w:rStyle w:val="12"/>
          <w:rFonts w:hint="eastAsia" w:ascii="黑体" w:hAnsi="黑体" w:eastAsia="黑体" w:cs="黑体"/>
          <w:bCs/>
          <w:i w:val="0"/>
          <w:color w:val="auto"/>
          <w:sz w:val="24"/>
          <w:szCs w:val="24"/>
        </w:rPr>
        <w:t xml:space="preserve">也可通过项目专属服务顾问预约   </w:t>
      </w:r>
    </w:p>
    <w:p>
      <w:pPr>
        <w:ind w:left="420"/>
      </w:pPr>
      <w:r>
        <w:rPr>
          <w:rStyle w:val="12"/>
          <w:rFonts w:hint="eastAsia" w:ascii="黑体" w:hAnsi="黑体" w:eastAsia="黑体" w:cs="黑体"/>
          <w:bCs/>
          <w:i w:val="0"/>
          <w:color w:val="auto"/>
          <w:sz w:val="24"/>
          <w:szCs w:val="24"/>
        </w:rPr>
        <w:t>马亮-健康顾问-18920740818（微信同号）</w:t>
      </w:r>
    </w:p>
    <w:p>
      <w:pPr>
        <w:rPr>
          <w:rStyle w:val="12"/>
          <w:rFonts w:ascii="黑体" w:hAnsi="黑体" w:eastAsia="黑体" w:cs="黑体"/>
          <w:bCs/>
          <w:i w:val="0"/>
          <w:color w:val="auto"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Style w:val="12"/>
          <w:rFonts w:hint="eastAsia" w:ascii="黑体" w:hAnsi="黑体" w:eastAsia="黑体" w:cs="黑体"/>
          <w:bCs/>
          <w:i w:val="0"/>
          <w:color w:val="auto"/>
          <w:sz w:val="24"/>
          <w:szCs w:val="24"/>
        </w:rPr>
        <w:t>李雅-健康顾问-18522146361（微信同号）</w:t>
      </w:r>
    </w:p>
    <w:p>
      <w:pPr>
        <w:numPr>
          <w:ilvl w:val="0"/>
          <w:numId w:val="2"/>
        </w:numPr>
        <w:rPr>
          <w:rStyle w:val="12"/>
          <w:rFonts w:ascii="黑体" w:hAnsi="黑体" w:eastAsia="黑体" w:cs="黑体"/>
          <w:bCs/>
          <w:i w:val="0"/>
          <w:color w:val="auto"/>
          <w:sz w:val="24"/>
          <w:szCs w:val="24"/>
        </w:rPr>
      </w:pPr>
      <w:r>
        <w:rPr>
          <w:rStyle w:val="12"/>
          <w:rFonts w:hint="eastAsia" w:ascii="黑体" w:hAnsi="黑体" w:eastAsia="黑体" w:cs="黑体"/>
          <w:bCs/>
          <w:i w:val="0"/>
          <w:color w:val="auto"/>
          <w:sz w:val="24"/>
          <w:szCs w:val="24"/>
        </w:rPr>
        <w:t>还可通过二维码进行预约。</w:t>
      </w:r>
    </w:p>
    <w:p>
      <w:pPr>
        <w:rPr>
          <w:rFonts w:ascii="微软雅黑" w:hAnsi="微软雅黑" w:eastAsia="微软雅黑" w:cs="微软雅黑"/>
          <w:bCs/>
          <w:iCs/>
          <w:szCs w:val="21"/>
        </w:rPr>
      </w:pPr>
      <w:r>
        <w:rPr>
          <w:rStyle w:val="9"/>
          <w:rFonts w:hint="eastAsia" w:ascii="微软雅黑" w:hAnsi="微软雅黑" w:eastAsia="微软雅黑" w:cs="微软雅黑"/>
          <w:b/>
          <w:i/>
        </w:rPr>
        <w:drawing>
          <wp:inline distT="0" distB="0" distL="114300" distR="114300">
            <wp:extent cx="2362200" cy="2724150"/>
            <wp:effectExtent l="0" t="0" r="0" b="0"/>
            <wp:docPr id="89" name="图片 89" descr="微信图片编辑_2021091711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微信图片编辑_202109171114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5791" cy="272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Cs/>
          <w:iCs/>
          <w:szCs w:val="21"/>
        </w:rPr>
        <w:t xml:space="preserve">  </w:t>
      </w:r>
    </w:p>
    <w:p>
      <w:pPr>
        <w:pStyle w:val="1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体检时间</w:t>
      </w:r>
    </w:p>
    <w:p>
      <w:pPr>
        <w:pStyle w:val="11"/>
        <w:ind w:left="720" w:firstLine="0" w:firstLineChars="0"/>
        <w:rPr>
          <w:b/>
          <w:sz w:val="28"/>
          <w:szCs w:val="28"/>
        </w:rPr>
      </w:pPr>
      <w:r>
        <w:rPr>
          <w:rStyle w:val="12"/>
          <w:rFonts w:hint="eastAsia" w:cs="微软雅黑" w:asciiTheme="minorEastAsia" w:hAnsiTheme="minorEastAsia"/>
          <w:bCs/>
          <w:i w:val="0"/>
          <w:color w:val="auto"/>
          <w:sz w:val="28"/>
          <w:szCs w:val="28"/>
        </w:rPr>
        <w:t>每周一至周日，各家门店接检时间不同，请提前预约。</w:t>
      </w:r>
    </w:p>
    <w:p>
      <w:pPr>
        <w:pStyle w:val="1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体检地址</w:t>
      </w:r>
    </w:p>
    <w:p>
      <w:pPr>
        <w:pStyle w:val="11"/>
        <w:numPr>
          <w:ilvl w:val="0"/>
          <w:numId w:val="3"/>
        </w:numPr>
        <w:spacing w:line="400" w:lineRule="exact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天津体检分院地址：10家体检中心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友谊路分院：天津市河西区友谊路35号君谊大厦B座1-4层（周一休息）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卫津路分院：天津市南开区卫津南路109号京燕大厦五层（周二休息）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城厢东路分院：天津市南开区鼓楼商业区东街2号楼旅游超市内（周四休息）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美佳分院：天津市和平区小白楼街曲阜道38号友谊精品广场四层L2（周三休息）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美欣分院：滨海新区津塘公路1255号天润商业街二层（周一休息）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美健分院：滨海新区第三大街捷达路26号宏泰科技大厦C座1-2层（周二休息）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慈铭（友谊精品分院）：和平区小白楼浙江路1号友谊精品广场2层（周二休息）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慈铭（国金分院）：和平区赤峰道 136 号天津国际金融中心 10 层（周一休息）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高端慈铭奥亚健康管理中心：和平区赤峰道 136 号天津国际金融中心9 层（周一休息）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慈铭（滨海分院MSD ）： 经济技术开发区第二大街泰达 MSD-B1 座 5 层（周三休息）</w:t>
      </w:r>
    </w:p>
    <w:p>
      <w:pPr>
        <w:pStyle w:val="1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体检注意事项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1、体检当天如涉及到血液检验项目、幽门螺旋菌（HP）哈气检测、腹部B超（肝胆胰脾 肾）、胶囊胃镜，早晨须空腹。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2、体检前三天注意不要饮食油腻、不易消化的食物。体检前一天晚上8点之后不再进餐（可饮清水），保证睡眠；避免剧烈运动和情绪激动，以保证体检结果的准确性。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3、参加X线检查、磁共振检查，请勿穿着带有金银首饰或配件的衣物，请去除金属物品及磁性物品，例如钥匙、硬币、磁卡、手表、首饰、打火机、指甲钳、雨伞等。哺乳期女性、孕妇、疑似怀孕、正在备孕（包括男性）及半年内计划备孕的受检者（包括男性）请勿做X线检查、幽门螺旋菌（HP）哈气检测、双能X线骨密度、C14检测；高热患者及孕龄3月内妇女严禁进行磁共振检查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4、B超检查下腹部的子宫及附件、膀胱、前列腺等脏器时，必须在膀胱充盈状态下进行，应在检前2小时饮水1000毫升左右，不解小便，保持憋尿；已婚女性（有性生活史）做阴道超声检查时不需憋尿。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5、女性受检者体检当天尽量避免穿着连裤袜；已婚女性检查妇科前需先排空尿液，经期勿留尿及勿做妇科检查，可预约时间另查。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6、未婚女性、已婚女性（无性生活史）、孕妇及疑似怀孕者请勿做妇科检查及阴道超声检查。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7、有眼压、眼底、裂隙灯检查项目请勿戴隐形眼镜，如戴隐形眼镜请自备眼药水和隐形眼镜镜盒。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8、高血压、心脏病、糖尿病等慢性疾病患者，在不影响空腹抽血的情况下，体检前可以先服用某些必服药物，在完成空腹检查项目后可以再服用其余药物。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9、请接受幽门螺旋菌（HP）哈气检测、腹部B超（肝胆胰脾肾）、X射线检查、磁共振检查、C14检测、胶囊胃镜检查的受检者，在预约时仔细咨询体检门店客服相关检前注意事项；并在体检当天至体检门店仔细阅读相关体检项目注意事项、知情同意书、申请书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10、如有“健康问卷”，请认真填写，以便及时准确的发现受检者的健康问题。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11、体检中心有储物柜，如需可联系护士存放随身物品（贵重物品请自行保管）。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12、 特殊体检者陪检规定： 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1) 凡年龄超过 70 岁的体检者，来我院体检，必须有家属陪伴。 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2) 凡年龄超过 80 岁的体检者，来我院体检，必须有家属陪伴，如家属不能陪伴，体检中心有权拒绝为其体检。</w:t>
      </w:r>
    </w:p>
    <w:p>
      <w:pPr>
        <w:numPr>
          <w:ilvl w:val="0"/>
          <w:numId w:val="4"/>
        </w:numPr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98425</wp:posOffset>
            </wp:positionV>
            <wp:extent cx="2115820" cy="2229485"/>
            <wp:effectExtent l="0" t="0" r="2540" b="10795"/>
            <wp:wrapNone/>
            <wp:docPr id="3" name="图片 3" descr="微信图片_2021110913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109134321"/>
                    <pic:cNvPicPr>
                      <a:picLocks noChangeAspect="1"/>
                    </pic:cNvPicPr>
                  </pic:nvPicPr>
                  <pic:blipFill>
                    <a:blip r:embed="rId6"/>
                    <a:srcRect t="23183" b="14007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4"/>
          <w:szCs w:val="24"/>
        </w:rPr>
        <w:t>入院前请出示：健康码（带金盾）、行程码、入院登记码</w:t>
      </w:r>
    </w:p>
    <w:p>
      <w:pPr>
        <w:jc w:val="center"/>
        <w:rPr>
          <w:rStyle w:val="12"/>
          <w:rFonts w:ascii="微软雅黑" w:hAnsi="微软雅黑" w:eastAsia="微软雅黑" w:cs="微软雅黑"/>
          <w:b/>
          <w:i w:val="0"/>
          <w:color w:val="auto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159385</wp:posOffset>
            </wp:positionV>
            <wp:extent cx="1924050" cy="1924050"/>
            <wp:effectExtent l="0" t="0" r="11430" b="11430"/>
            <wp:wrapNone/>
            <wp:docPr id="2" name="图片 2" descr="微信图片_2021110913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1091343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  <w:jc w:val="center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ascii="黑体" w:hAnsi="黑体" w:eastAsia="黑体" w:cs="黑体"/>
          <w:bCs/>
          <w:color w:val="FF0000"/>
          <w:sz w:val="24"/>
        </w:rPr>
      </w:pPr>
      <w:r>
        <w:rPr>
          <w:rFonts w:hint="eastAsia" w:ascii="黑体" w:hAnsi="黑体" w:eastAsia="黑体" w:cs="黑体"/>
          <w:bCs/>
          <w:color w:val="FF0000"/>
          <w:sz w:val="24"/>
        </w:rPr>
        <w:t>注意：如体检人近14天内有离津记录，请提供48小时内本市有效核酸检测报告，方可入院体检。</w:t>
      </w:r>
    </w:p>
    <w:p>
      <w:pPr>
        <w:pStyle w:val="2"/>
      </w:pPr>
    </w:p>
    <w:p>
      <w:pPr>
        <w:pStyle w:val="1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体检项目</w:t>
      </w:r>
    </w:p>
    <w:p>
      <w:pPr>
        <w:pStyle w:val="11"/>
        <w:numPr>
          <w:ilvl w:val="0"/>
          <w:numId w:val="5"/>
        </w:numPr>
        <w:ind w:firstLineChars="0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体检套餐方案A</w:t>
      </w:r>
    </w:p>
    <w:tbl>
      <w:tblPr>
        <w:tblStyle w:val="6"/>
        <w:tblW w:w="4887" w:type="pct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2829"/>
        <w:gridCol w:w="510"/>
        <w:gridCol w:w="409"/>
        <w:gridCol w:w="417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0" w:type="pct"/>
            <w:gridSpan w:val="6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年律协体检套餐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00" w:type="pct"/>
            <w:gridSpan w:val="6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体检预算：400元/人/年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496" w:type="pct"/>
            <w:gridSpan w:val="2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体检项目</w:t>
            </w:r>
          </w:p>
        </w:tc>
        <w:tc>
          <w:tcPr>
            <w:tcW w:w="313" w:type="pct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男性</w:t>
            </w:r>
          </w:p>
        </w:tc>
        <w:tc>
          <w:tcPr>
            <w:tcW w:w="507" w:type="pct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女性</w:t>
            </w:r>
          </w:p>
        </w:tc>
        <w:tc>
          <w:tcPr>
            <w:tcW w:w="1682" w:type="pct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临床意义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496" w:type="pct"/>
            <w:gridSpan w:val="2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313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5"/>
                <w:szCs w:val="15"/>
                <w:lang w:bidi="ar"/>
              </w:rPr>
              <w:t>未婚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5"/>
                <w:szCs w:val="15"/>
                <w:lang w:bidi="ar"/>
              </w:rPr>
              <w:t>已婚</w:t>
            </w:r>
          </w:p>
        </w:tc>
        <w:tc>
          <w:tcPr>
            <w:tcW w:w="1682" w:type="pct"/>
            <w:vMerge w:val="continue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一般检查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身高、体重、体重指数、血压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检查体型、人体骨骼生长发育及营养状态是否正常。是否体重超重，肥胖，消瘦等。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内科检查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心率、心律、心脏杂音、肺部听诊、肠鸣音、腹部触诊、肝胆脾肾触诊、神经反射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心、肺等脏器的常规检查,对多种疾病和体征进行初步筛查和诊断。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外科检查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皮肤、甲状腺、脊柱、表浅淋巴结、四肢关节、外生殖器（男）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淋巴结有无肿大，甲状腺、乳房有无异常、四肢脊柱有无畸形等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指肛检查(肛门)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指肛检查(肛门)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肛裂、内痔、外痔、皮疹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妇科检查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常规检查（必选）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对妇女外阴，阴道，子宫进行常规检查。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白带常规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白带常规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阴道分泌物洁净度分级检查，有无霉菌及滴虫感染。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宫颈脱落细胞检测（刮片）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宫颈脱落细胞检测（刮片）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宫颈炎症及宫颈病变的初筛，对诊断炎症、宫颈癌具有重要的临床意义。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口腔科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唇、颊、齿、齿龈、牙周、舌、腭、腮腺、颞下颌关节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通过观察口腔外观,牙齿，齿龈，粘膜情况，筛查口腔疾病。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血常规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白细胞数目、 淋巴细胞绝对值、 中间细胞绝对值、 中性粒细胞绝对值、淋巴细胞百分比、 中间细胞百分比、 中性粒细胞百分比、 血红蛋白 、红细胞数目、红细胞压积、 平均红细胞体积 、平均红细胞血红蛋白量 、平均红细胞血红蛋白浓度、 红细胞分布宽度标准差、  血小板数目、 大血小板比率、 血小板分布宽度、 血小板体积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了解外周血细胞是否正常，对感染性疾病、贫血、凝血功能障碍、血液病等多种疾病的诊断有重要意义。例：细菌引起的感染，白细胞总数可明显升高。病毒引起的感染，淋巴细胞明显增高，白细胞总数会明显降低或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尿常规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尿糖、尿比重、尿酮体、尿胆原、亚硝酸盐、酸碱度、潜血、白细胞、尿蛋白、尿胆红素、维生素C、颜色、透明度、红细胞镜检、白细胞镜检、管型镜检、尿结晶镜检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可提示有无泌尿系统疾患：如急、慢性肾炎，肾盂肾炎，膀胱炎，尿道炎，肾病综合征，糖尿病，肾或膀胱肿瘤等。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便潜血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便潜血（定性）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检查有无消化道出血的疾病。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8" w:type="pct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肝功三项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血清丙氨酸氨基转移酶测定(ALT)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ALT增高可见肝胆疾病：传染性肝炎、肝硬化活动期、肝癌、中毒性肝炎、脂肪肝、胆石症、胆管炎、胆囊炎。心血管疾病：心肌梗死、心肌炎、脑出血。骨骼疾病、多发性肌炎、、某些药物、毒物、酒精、铅、汞有机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58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血清天门冬氨酸氨基转移酶测定(AST)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AST升高：主要见于·急性肝炎、药物中毒性肝坏死、肝癌、肝硬化、慢性肝炎、心肌炎、胸膜炎、肾炎、肺炎、骨骼肌疾病AST也会升高。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58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血清γ-谷氨酰基转移酶测定（γ-GT)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GGT升高可见原发性或转移性肝癌、阻塞性黄疸、病毒性肝炎、肝硬化、嗜酒者、酒精性肝炎。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肾功能三项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尿素氮 肌酐 尿酸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检测肾脏功能有无异常，肾实质有无损害，有无高尿酸血症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血葡萄糖(GLU)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空腹血糖(GLU)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检测人体空腹状态下糖代谢是否正常，评估糖尿病患者空腹血糖控制是否达标，诊断糖代谢紊乱。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血脂五项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总胆固醇、甘油三酯、高密度脂蛋白胆固醇、低密度脂蛋白胆固醇、动脉粥样硬化指数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A/B用于动脉粥样硬化、高血压、脑血管病、冠心病、糖尿病、肥胖与高脂血症、肾病综合症、肝脏损伤等预警及诊断。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心肌酶两项检测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肌酸激酶（CK）、乳酸脱氢酶(LDH)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检测心肌、骨骼肌细胞的代谢情况，是心肌损伤和横纹肌损伤的特异性指标。是心脑病、急性心肌梗塞，病毒性心肌炎早期诊断敏感指标。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甲状腺功能三项1（T3,T4,TSH）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血清促甲状腺激素，甲状腺素，三碘甲状腺原氨酸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评价甲状腺功能、垂体功能及甲状腺疾病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肿瘤标志物-男（T6）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糖类抗原CA19-9、游离前列腺特异性抗原（f-PSA）、总前列腺特异性抗原(TPSA)、甲胎蛋白AFP、癌胚抗原CEA、游离前列腺特异性抗原/总前列腺特异性抗原比值（f-PSA/TPSA）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通过对肿瘤标识物的筛查，提示相应组织器官部位癌肿发生的可能性。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肿瘤标志物-女（T5）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糖类抗原CA19-9、糖类抗原CA-153、甲胎蛋白AFP、癌胚抗原CEA、糖类抗原CA125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通过对肿瘤标识物的筛查，提示相应组织器官部位癌肿发生的可能性。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碳14检测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</w:rPr>
              <w:t>呼气式幽门螺旋杆菌检测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通过吹气了解胃内有无幽门螺旋杆菌感染，此感染与胃炎、消化性溃疡、胃癌等发病有密切关系。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8" w:type="pct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高清彩色多普勒B超（不出图）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乳房（双侧）超声(不出图)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检查乳腺肿块或乳腺占位性病变等。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58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肝胆脾胰肾超声(不出图)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检查肝脏、胆囊、胆管、脾脏、胰腺、肾脏等是否异常病变发生。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58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前列腺超声(不出图)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检查前列腺的结构及形态，发现前列腺异常病变。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8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子宫及附件超声(不出图)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检查子宫、卵巢、盆腔等生殖器是否有病变发生。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58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甲状腺超声(不出图)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检查甲状腺的结构及形态，发现甲状腺异常病变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胸部DR（正位）（不出片）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胸部DR（正位）（不出片）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有无肺部疾病及心脏、主动脉、纵膈、横膈疾病等，常见肺感染，肺气肿，肺肿瘤占位，主动脉硬化，心脏形态改变。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心电图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心脏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利用电生理对心律失常、传导异常，心肌缺血等心脏疾病的检查。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5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抽血（必选）</w:t>
            </w:r>
          </w:p>
        </w:tc>
        <w:tc>
          <w:tcPr>
            <w:tcW w:w="1738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一次性采血针、真空管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含一次性采血针、真空管，凡选择血液查项目者须加收。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96" w:type="pct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免费早餐（必选）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96" w:type="pct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总检（必选）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96" w:type="pct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纸质加电子体检报告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1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256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68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numPr>
          <w:ilvl w:val="0"/>
          <w:numId w:val="6"/>
        </w:numPr>
        <w:adjustRightInd w:val="0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体检套餐方案B</w:t>
      </w:r>
    </w:p>
    <w:p>
      <w:pPr>
        <w:pStyle w:val="2"/>
        <w:adjustRightInd w:val="0"/>
        <w:snapToGrid w:val="0"/>
        <w:ind w:firstLine="420"/>
        <w:rPr>
          <w:rFonts w:ascii="微软雅黑" w:hAnsi="微软雅黑" w:eastAsia="微软雅黑" w:cs="微软雅黑"/>
          <w:b/>
          <w:color w:val="0000FF"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如遇新冠疫情管控，需关闭部分体检项目时。院部启动应急B套餐，不耽误体检正常进行。</w:t>
      </w:r>
    </w:p>
    <w:tbl>
      <w:tblPr>
        <w:tblStyle w:val="6"/>
        <w:tblW w:w="4920" w:type="pct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997"/>
        <w:gridCol w:w="508"/>
        <w:gridCol w:w="510"/>
        <w:gridCol w:w="513"/>
        <w:gridCol w:w="2293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</w:trPr>
        <w:tc>
          <w:tcPr>
            <w:tcW w:w="5000" w:type="pct"/>
            <w:gridSpan w:val="7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年律协体检套餐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000" w:type="pct"/>
            <w:gridSpan w:val="7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3"/>
                <w:szCs w:val="13"/>
                <w:lang w:bidi="ar"/>
              </w:rPr>
              <w:t>体检预算：400元/人/年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964" w:type="pct"/>
            <w:gridSpan w:val="2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3"/>
                <w:szCs w:val="13"/>
                <w:lang w:bidi="ar"/>
              </w:rPr>
              <w:t>体检项目</w:t>
            </w:r>
          </w:p>
        </w:tc>
        <w:tc>
          <w:tcPr>
            <w:tcW w:w="312" w:type="pct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3"/>
                <w:szCs w:val="13"/>
                <w:lang w:bidi="ar"/>
              </w:rPr>
              <w:t>男性</w:t>
            </w:r>
          </w:p>
        </w:tc>
        <w:tc>
          <w:tcPr>
            <w:tcW w:w="627" w:type="pct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3"/>
                <w:szCs w:val="13"/>
                <w:lang w:bidi="ar"/>
              </w:rPr>
              <w:t>女性</w:t>
            </w:r>
          </w:p>
        </w:tc>
        <w:tc>
          <w:tcPr>
            <w:tcW w:w="1400" w:type="pct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3"/>
                <w:szCs w:val="13"/>
                <w:lang w:bidi="ar"/>
              </w:rPr>
              <w:t>临床意义</w:t>
            </w:r>
          </w:p>
        </w:tc>
        <w:tc>
          <w:tcPr>
            <w:tcW w:w="695" w:type="pct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3"/>
                <w:szCs w:val="13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964" w:type="pct"/>
            <w:gridSpan w:val="2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312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3"/>
                <w:szCs w:val="13"/>
                <w:lang w:bidi="ar"/>
              </w:rPr>
              <w:t>未婚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3"/>
                <w:szCs w:val="13"/>
                <w:lang w:bidi="ar"/>
              </w:rPr>
              <w:t>已婚</w:t>
            </w:r>
          </w:p>
        </w:tc>
        <w:tc>
          <w:tcPr>
            <w:tcW w:w="1400" w:type="pct"/>
            <w:vMerge w:val="continue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695" w:type="pct"/>
            <w:vMerge w:val="continue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1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一般检查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身高、体重、体重指数、视力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检查体型、人体骨骼生长发育及营养状态是否正常。是否体重超重，肥胖，消瘦等。握力主要是测试上肢肌肉群的肌力是否正常。</w:t>
            </w:r>
          </w:p>
        </w:tc>
        <w:tc>
          <w:tcPr>
            <w:tcW w:w="695" w:type="pc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内科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血压、心率、心律、心脏杂音、肺部听诊、肠鸣音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心、肺等脏器的常规检查,对多种疾病和体征进行初步筛查和诊断。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外科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皮肤、甲状腺、脊柱、表浅淋巴结、四肢关节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淋巴结有无肿大，甲状腺、乳房有无异常、四肢脊柱有无畸形等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744" w:type="pct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妇科（已婚）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常规检查（必选）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对妇女外阴，阴道，子宫进行常规检查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744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白带常规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阴道分泌物洁净度分级检查，有无霉菌及滴虫感染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744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宫颈脱落细胞检测（刮片）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宫颈炎症及宫颈病变的初筛，对诊断炎症、宫颈癌具有重要的临床意义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血常规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白细胞数目、 淋巴细胞绝对值、 中间细胞绝对值、 中性粒细胞绝对值、淋巴细胞百分比、 中间细胞百分比、 中性粒细胞百分比、 血红蛋白 、红细胞数目、红细胞压积、 平均红细胞体积 、平均红细胞血红蛋白量 、平均红细胞血红蛋白浓度、 红细胞分布宽度标准差、  血小板数目、 大血小板比率、 血小板分布宽度、 血小板体积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了解外周血细胞是否正常，对感染性疾病、贫血、凝血功能障碍、血液病等多种疾病的诊断有重要意义。例：细菌引起的感染，白细胞总数可明显升高。病毒引起的感染，淋巴细胞明显增高，白细胞总数会明显降低或正常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5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尿常规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尿糖、尿比重、尿酮体、尿胆原、亚硝酸盐、酸碱度、潜血、白细胞、尿蛋白、尿胆红素、维生素C、颜色、透明度、红细胞镜检、白细胞镜检、管型镜检、尿结晶镜检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可提示有无泌尿系统疾患：如急、慢性肾炎，肾盂肾炎，膀胱炎，尿道炎，肾病综合征，糖尿病，肾或膀胱肿瘤等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744" w:type="pct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高清彩色多普勒B超（不出图）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肝胆脾胰肾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检查肝脏、胆囊、胆管、脾脏、胰腺、肾脏等是否异常病变发生。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</w:trPr>
        <w:tc>
          <w:tcPr>
            <w:tcW w:w="744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前列腺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检查前列腺的结构及形态，发现前列腺异常病变。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744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乳房（双侧）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检查乳腺肿块或乳腺占位性病变等。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744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子宫及附件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检查子宫、卵巢、盆腔等生殖器是否有病变发生。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744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甲状腺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检查甲状腺的结构及形态，发现甲状腺异常病变。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肾功能三项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尿素氮 肌酐 尿酸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检测肾脏功能有无异常，肾实质有无损害，有无高尿酸血症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7" w:hRule="atLeast"/>
        </w:trPr>
        <w:tc>
          <w:tcPr>
            <w:tcW w:w="744" w:type="pct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肝功三项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血清丙氨酸氨基转移酶测定(ALT)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ALT增高可见肝胆疾病：传染性肝炎、肝硬化活动期、肝癌、中毒性肝炎、脂肪肝、胆石症、胆管炎、胆囊炎。心血管疾病：心肌梗死、心肌炎、脑出血。骨骼疾病、多发性肌炎、某些药物、毒物、酒精、铅、汞有机磷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44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血清天门冬氨酸氨基转移酶测定(AST)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AST升高：主要见于急性肝炎、药物中毒性肝坏死、肝癌、肝硬化、慢性肝炎、心肌炎、胸膜炎、肾炎、肺炎、骨骼肌疾病AST也会升高。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</w:trPr>
        <w:tc>
          <w:tcPr>
            <w:tcW w:w="744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血清γ-谷氨酰基转移酶测定（γ-GT)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GGT升高可见原发性或转移性肝癌、阻塞性黄疸、病毒性肝炎、肝硬化、嗜酒者、酒精性肝炎。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1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血脂五项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总胆固醇、甘油三酯、高密度脂蛋白胆固醇、低密度脂蛋白胆固醇、动脉粥样硬化指数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A/B用于动脉粥样硬化、高血压、脑血管病、冠心病、糖尿病、肥胖与高脂血症、肾病综合症、肝脏损伤等预警及诊断。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DR不出片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胸部DR（正位）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有无肺部疾病及心脏、主动脉、纵膈、横膈疾病等，常见肺感染，肺气肿，肺肿瘤占位，主动脉硬化，心脏形态改变。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1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心电图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心脏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利用电生理对心律失常、传导异常，心肌缺血等心脏疾病的检查。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7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血葡萄糖(GLU)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空腹血糖(GLU)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检测人体空腹状态下糖代谢是否正常，评估糖尿病患者空腹血糖控制是否达标，诊断糖代谢紊乱。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6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碳14检测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</w:rPr>
              <w:t>呼气式幽门螺旋杆菌检测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通过吹气了解胃内有无幽门螺旋杆菌感染，此感染与胃炎、消化性溃疡、胃癌等发病有密切关系。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0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肿瘤标志物-男（T6）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糖类抗原CA19-9、游离前列腺特异性抗原（f-PSA）、总前列腺特异性抗原(TPSA)、甲胎蛋白AFP、癌胚抗原CEA、游离前列腺特异性抗原/总前列腺特异性抗原比值（f-PSA/TPSA）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vMerge w:val="restar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消化系统癌及消化系统炎症辅助检查之一、原发性肝癌及肝脏良性疾患辅助检查之一、浆液性囊腺癌、未分化卵巢癌辅助检查之一、乳腺癌、乳腺增生辅助检查之一、胰腺癌、胆管癌、结肠癌、粘液腺癌及胰腺炎、阻塞性黄疸辅助检查之一、前列腺癌及前列腺增生辅助检查之一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33339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肿瘤标志物-女（T5）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糖类抗原CA19-9、糖类抗原CA-153、甲胎蛋白AFP、癌胚抗原CEA、糖类抗原CA125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vMerge w:val="continue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33339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甲状腺功能三项1（T3,T4,TSH）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血清促甲状腺激素，甲状腺素，三碘甲状腺原氨酸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评价甲状腺功能、垂体功能及甲状腺疾病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33339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0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心肌酶两项检测</w:t>
            </w: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肌酸激酶（CK）、乳酸脱氢酶(LDH)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检测心肌、骨骼肌细胞的代谢情况，是心肌损伤和横纹肌损伤的特异性指标。是心脑病、急性心肌梗塞，病毒性心肌炎早期诊断敏感指标。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3" w:hRule="atLeast"/>
        </w:trPr>
        <w:tc>
          <w:tcPr>
            <w:tcW w:w="74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骨密度检测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是测量骨钙含量的检测方法，主要用于骨质疏松症的初筛。</w:t>
            </w: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964" w:type="pct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抽血（必选）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964" w:type="pct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营养早餐（必选）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964" w:type="pct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总检（必选）</w:t>
            </w:r>
          </w:p>
        </w:tc>
        <w:tc>
          <w:tcPr>
            <w:tcW w:w="312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3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314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bidi="ar"/>
              </w:rPr>
              <w:t>★</w:t>
            </w:r>
          </w:p>
        </w:tc>
        <w:tc>
          <w:tcPr>
            <w:tcW w:w="1400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FF0000"/>
                <w:sz w:val="18"/>
                <w:szCs w:val="18"/>
              </w:rPr>
            </w:pPr>
          </w:p>
        </w:tc>
      </w:tr>
    </w:tbl>
    <w:p>
      <w:pPr>
        <w:pStyle w:val="11"/>
        <w:ind w:left="720" w:firstLine="0" w:firstLineChars="0"/>
        <w:rPr>
          <w:b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2705735" cy="2946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793" cy="29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AC4B40"/>
    <w:multiLevelType w:val="singleLevel"/>
    <w:tmpl w:val="BBAC4B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7678884"/>
    <w:multiLevelType w:val="singleLevel"/>
    <w:tmpl w:val="C767888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1167DD9"/>
    <w:multiLevelType w:val="singleLevel"/>
    <w:tmpl w:val="11167DD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D8A749E"/>
    <w:multiLevelType w:val="singleLevel"/>
    <w:tmpl w:val="2D8A749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3BDF08E8"/>
    <w:multiLevelType w:val="multilevel"/>
    <w:tmpl w:val="3BDF08E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FE00C18"/>
    <w:multiLevelType w:val="multilevel"/>
    <w:tmpl w:val="7FE00C1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DEyNzNlNDc1NTQ2M2Y1MzA2MTJiMTFmNTg2ZTkifQ=="/>
  </w:docVars>
  <w:rsids>
    <w:rsidRoot w:val="00A65859"/>
    <w:rsid w:val="00075789"/>
    <w:rsid w:val="000D4277"/>
    <w:rsid w:val="00101DF7"/>
    <w:rsid w:val="00117B67"/>
    <w:rsid w:val="001C2636"/>
    <w:rsid w:val="002C1740"/>
    <w:rsid w:val="003B762D"/>
    <w:rsid w:val="003C592F"/>
    <w:rsid w:val="003E702A"/>
    <w:rsid w:val="00476FB8"/>
    <w:rsid w:val="005A462D"/>
    <w:rsid w:val="00665796"/>
    <w:rsid w:val="0069182F"/>
    <w:rsid w:val="006918DF"/>
    <w:rsid w:val="0072786C"/>
    <w:rsid w:val="008371D1"/>
    <w:rsid w:val="008B068F"/>
    <w:rsid w:val="008C5BCC"/>
    <w:rsid w:val="009E2593"/>
    <w:rsid w:val="009F7C67"/>
    <w:rsid w:val="00A16D88"/>
    <w:rsid w:val="00A65859"/>
    <w:rsid w:val="00AA6037"/>
    <w:rsid w:val="00B9408E"/>
    <w:rsid w:val="00CB1B79"/>
    <w:rsid w:val="00D50949"/>
    <w:rsid w:val="00F46FD5"/>
    <w:rsid w:val="349C32C4"/>
    <w:rsid w:val="4E9210BC"/>
    <w:rsid w:val="51796C42"/>
    <w:rsid w:val="5A260E2C"/>
    <w:rsid w:val="6B212239"/>
    <w:rsid w:val="6FAE1315"/>
    <w:rsid w:val="714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不明显强调1"/>
    <w:basedOn w:val="7"/>
    <w:qFormat/>
    <w:uiPriority w:val="99"/>
    <w:rPr>
      <w:rFonts w:cs="Times New Roman"/>
      <w:i/>
      <w:iCs/>
      <w:color w:val="404040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7"/>
    <w:link w:val="2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5497</Words>
  <Characters>5807</Characters>
  <Lines>45</Lines>
  <Paragraphs>12</Paragraphs>
  <TotalTime>6</TotalTime>
  <ScaleCrop>false</ScaleCrop>
  <LinksUpToDate>false</LinksUpToDate>
  <CharactersWithSpaces>5875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2021-11-11T02:09:00Z</dcterms:created>
  <dc:creator>微软用户</dc:creator>
  <cp:lastModifiedBy>市律协会员部</cp:lastModifiedBy>
  <dcterms:modified xsi:type="dcterms:W3CDTF">2022-07-27T01:37:47Z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33C2D79CB3BC4C208EB42DDC3E776E96</vt:lpwstr>
  </property>
</Properties>
</file>