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31183">
      <w:pPr>
        <w:pStyle w:val="9"/>
        <w:bidi w:val="0"/>
        <w:spacing w:before="260" w:beforeAutospacing="0" w:after="260" w:afterAutospacing="0"/>
        <w:jc w:val="left"/>
        <w:rPr>
          <w:rFonts w:cs="仿宋_GB2312"/>
          <w:i w:val="0"/>
          <w:caps w:val="0"/>
          <w:small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cs="仿宋_GB2312"/>
          <w:i w:val="0"/>
          <w:caps w:val="0"/>
          <w:smallCaps w:val="0"/>
          <w:color w:val="000000"/>
          <w:spacing w:val="0"/>
          <w:sz w:val="32"/>
          <w:szCs w:val="32"/>
          <w:shd w:val="clear" w:fill="FFFFFF"/>
          <w:lang w:eastAsia="zh-CN"/>
        </w:rPr>
        <w:t>附件</w:t>
      </w:r>
    </w:p>
    <w:p w14:paraId="5DE5AC04">
      <w:pPr>
        <w:pStyle w:val="9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微软雅黑"/>
          <w:b w:val="0"/>
          <w:color w:val="000000"/>
          <w:kern w:val="0"/>
          <w:sz w:val="44"/>
          <w:szCs w:val="44"/>
          <w:shd w:val="clear" w:fill="FFFFFF"/>
          <w:lang w:val="en-US" w:eastAsia="zh-CN" w:bidi="ar-SA"/>
        </w:rPr>
      </w:pPr>
      <w:r>
        <w:rPr>
          <w:rFonts w:ascii="方正小标宋简体" w:hAnsi="方正小标宋简体" w:eastAsia="方正小标宋简体" w:cs="微软雅黑"/>
          <w:b w:val="0"/>
          <w:color w:val="000000"/>
          <w:kern w:val="0"/>
          <w:sz w:val="44"/>
          <w:szCs w:val="44"/>
          <w:shd w:val="clear" w:fill="FFFFFF"/>
          <w:lang w:val="en-US" w:eastAsia="zh-CN" w:bidi="ar-SA"/>
        </w:rPr>
        <w:t>天津市律师综合服务平台</w:t>
      </w:r>
    </w:p>
    <w:p w14:paraId="0CEEDC4B">
      <w:pPr>
        <w:pStyle w:val="9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微软雅黑"/>
          <w:b w:val="0"/>
          <w:color w:val="000000"/>
          <w:kern w:val="0"/>
          <w:sz w:val="44"/>
          <w:szCs w:val="44"/>
          <w:shd w:val="clear" w:fill="FFFFFF"/>
          <w:lang w:val="en-US" w:eastAsia="zh-CN" w:bidi="ar-SA"/>
        </w:rPr>
      </w:pPr>
      <w:r>
        <w:rPr>
          <w:rFonts w:ascii="方正小标宋简体" w:hAnsi="方正小标宋简体" w:eastAsia="方正小标宋简体" w:cs="微软雅黑"/>
          <w:b w:val="0"/>
          <w:color w:val="000000"/>
          <w:kern w:val="0"/>
          <w:sz w:val="44"/>
          <w:szCs w:val="44"/>
          <w:shd w:val="clear" w:fill="FFFFFF"/>
          <w:lang w:val="en-US" w:eastAsia="zh-CN" w:bidi="ar-SA"/>
        </w:rPr>
        <w:t>会费缴纳操作手册</w:t>
      </w:r>
    </w:p>
    <w:p w14:paraId="76E1CEC9">
      <w:pPr>
        <w:pStyle w:val="8"/>
        <w:rPr>
          <w:lang w:val="en-US" w:eastAsia="zh-CN"/>
        </w:rPr>
      </w:pPr>
    </w:p>
    <w:p w14:paraId="3CDD56B4">
      <w:pPr>
        <w:pStyle w:val="8"/>
        <w:rPr>
          <w:lang w:val="en-US" w:eastAsia="zh-CN"/>
        </w:rPr>
      </w:pPr>
    </w:p>
    <w:p w14:paraId="432677B4">
      <w:pPr>
        <w:pStyle w:val="8"/>
        <w:rPr>
          <w:lang w:val="en-US" w:eastAsia="zh-CN"/>
        </w:rPr>
      </w:pPr>
    </w:p>
    <w:p w14:paraId="124BF7A6">
      <w:pPr>
        <w:pStyle w:val="8"/>
        <w:rPr>
          <w:lang w:val="en-US" w:eastAsia="zh-CN"/>
        </w:rPr>
      </w:pPr>
    </w:p>
    <w:p w14:paraId="489981E0">
      <w:pPr>
        <w:pStyle w:val="8"/>
        <w:rPr>
          <w:lang w:val="en-US" w:eastAsia="zh-CN"/>
        </w:rPr>
      </w:pPr>
    </w:p>
    <w:p w14:paraId="0E3BA3F9">
      <w:pPr>
        <w:pStyle w:val="8"/>
        <w:rPr>
          <w:lang w:val="en-US" w:eastAsia="zh-CN"/>
        </w:rPr>
      </w:pPr>
    </w:p>
    <w:p w14:paraId="0B82775D">
      <w:pPr>
        <w:pStyle w:val="8"/>
        <w:rPr>
          <w:lang w:val="en-US" w:eastAsia="zh-CN"/>
        </w:rPr>
      </w:pPr>
      <w:bookmarkStart w:id="12" w:name="_GoBack"/>
      <w:bookmarkEnd w:id="12"/>
    </w:p>
    <w:p w14:paraId="2A7276DD">
      <w:pPr>
        <w:pStyle w:val="8"/>
        <w:rPr>
          <w:lang w:val="en-US" w:eastAsia="zh-CN"/>
        </w:rPr>
      </w:pPr>
    </w:p>
    <w:p w14:paraId="4DAED3A0">
      <w:pPr>
        <w:pStyle w:val="8"/>
        <w:rPr>
          <w:lang w:val="en-US" w:eastAsia="zh-CN"/>
        </w:rPr>
      </w:pPr>
    </w:p>
    <w:p w14:paraId="273FBA26">
      <w:pPr>
        <w:pStyle w:val="8"/>
        <w:jc w:val="center"/>
        <w:rPr>
          <w:u w:val="single"/>
          <w:lang w:val="en-US" w:eastAsia="zh-CN"/>
        </w:rPr>
      </w:pPr>
    </w:p>
    <w:p w14:paraId="1B4ECF00">
      <w:pPr>
        <w:pStyle w:val="8"/>
        <w:jc w:val="center"/>
        <w:rPr>
          <w:u w:val="single"/>
          <w:lang w:val="en-US" w:eastAsia="zh-CN"/>
        </w:rPr>
      </w:pPr>
    </w:p>
    <w:p w14:paraId="57626D2C">
      <w:pPr>
        <w:pStyle w:val="8"/>
        <w:jc w:val="center"/>
        <w:rPr>
          <w:u w:val="single"/>
          <w:lang w:val="en-US" w:eastAsia="zh-CN"/>
        </w:rPr>
      </w:pPr>
    </w:p>
    <w:p w14:paraId="5C59E9D3">
      <w:pPr>
        <w:pStyle w:val="8"/>
        <w:jc w:val="center"/>
        <w:rPr>
          <w:u w:val="single"/>
          <w:lang w:val="en-US" w:eastAsia="zh-CN"/>
        </w:rPr>
      </w:pPr>
    </w:p>
    <w:p w14:paraId="54C64C84">
      <w:pPr>
        <w:pStyle w:val="8"/>
        <w:rPr>
          <w:lang w:val="en-US" w:eastAsia="zh-CN"/>
        </w:rPr>
      </w:pPr>
    </w:p>
    <w:p w14:paraId="0DCB3675">
      <w:pPr>
        <w:pStyle w:val="8"/>
        <w:rPr>
          <w:lang w:val="en-US" w:eastAsia="zh-CN"/>
        </w:rPr>
      </w:pPr>
    </w:p>
    <w:p w14:paraId="53A2E3CA">
      <w:pPr>
        <w:pStyle w:val="8"/>
        <w:rPr>
          <w:lang w:val="en-US" w:eastAsia="zh-CN"/>
        </w:rPr>
      </w:pPr>
    </w:p>
    <w:p w14:paraId="31D1F6B8">
      <w:pPr>
        <w:pStyle w:val="8"/>
        <w:jc w:val="center"/>
        <w:rPr>
          <w:lang w:val="en-US" w:eastAsia="zh-CN"/>
        </w:rPr>
      </w:pPr>
    </w:p>
    <w:p w14:paraId="2688BBDD">
      <w:pPr>
        <w:pStyle w:val="8"/>
        <w:jc w:val="center"/>
        <w:rPr>
          <w:lang w:val="en-US" w:eastAsia="zh-CN"/>
        </w:rPr>
      </w:pPr>
    </w:p>
    <w:p w14:paraId="33ED896D">
      <w:pPr>
        <w:pStyle w:val="8"/>
        <w:jc w:val="center"/>
        <w:rPr>
          <w:lang w:val="en-US" w:eastAsia="zh-CN"/>
        </w:rPr>
      </w:pPr>
    </w:p>
    <w:p w14:paraId="49CF69F2">
      <w:pPr>
        <w:pStyle w:val="8"/>
        <w:jc w:val="center"/>
        <w:rPr>
          <w:lang w:val="en-US" w:eastAsia="zh-CN"/>
        </w:rPr>
      </w:pPr>
    </w:p>
    <w:p w14:paraId="6E36551C">
      <w:pPr>
        <w:pStyle w:val="8"/>
        <w:jc w:val="center"/>
        <w:rPr>
          <w:lang w:val="en-US" w:eastAsia="zh-CN"/>
        </w:rPr>
      </w:pPr>
    </w:p>
    <w:p w14:paraId="4B1FD6A7">
      <w:pPr>
        <w:pStyle w:val="8"/>
        <w:jc w:val="center"/>
        <w:rPr>
          <w:lang w:val="en-US" w:eastAsia="zh-CN"/>
        </w:rPr>
      </w:pPr>
    </w:p>
    <w:p w14:paraId="5C127014">
      <w:pPr>
        <w:pStyle w:val="8"/>
        <w:jc w:val="center"/>
        <w:rPr>
          <w:lang w:val="en-US" w:eastAsia="zh-CN"/>
        </w:rPr>
      </w:pPr>
    </w:p>
    <w:p w14:paraId="017BFA29">
      <w:pPr>
        <w:pStyle w:val="8"/>
        <w:jc w:val="center"/>
        <w:rPr>
          <w:lang w:val="en-US" w:eastAsia="zh-CN"/>
        </w:rPr>
      </w:pPr>
    </w:p>
    <w:p w14:paraId="4C4609D7">
      <w:pPr>
        <w:pStyle w:val="6"/>
        <w:keepNext w:val="0"/>
        <w:keepLines w:val="0"/>
        <w:widowControl/>
        <w:jc w:val="center"/>
        <w:rPr>
          <w:rFonts w:ascii="方正小标宋简体" w:hAnsi="方正小标宋简体" w:eastAsia="方正小标宋简体" w:cs="微软雅黑"/>
          <w:b w:val="0"/>
          <w:color w:val="00000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ascii="方正小标宋简体" w:hAnsi="方正小标宋简体" w:eastAsia="方正小标宋简体" w:cs="微软雅黑"/>
          <w:b w:val="0"/>
          <w:color w:val="000000"/>
          <w:kern w:val="0"/>
          <w:sz w:val="28"/>
          <w:szCs w:val="28"/>
          <w:shd w:val="clear" w:fill="FFFFFF"/>
          <w:lang w:val="en-US" w:eastAsia="zh-CN" w:bidi="ar-SA"/>
        </w:rPr>
        <w:t>编制单位：北京易通昊天科技发展有限公司</w:t>
      </w:r>
    </w:p>
    <w:p w14:paraId="5F3CAB9C">
      <w:pPr>
        <w:pStyle w:val="8"/>
        <w:jc w:val="center"/>
        <w:rPr>
          <w:lang w:val="en-US" w:eastAsia="zh-CN"/>
        </w:rPr>
      </w:pPr>
    </w:p>
    <w:p w14:paraId="712C8754">
      <w:pPr>
        <w:pStyle w:val="8"/>
        <w:rPr>
          <w:lang w:val="en-US" w:eastAsia="zh-CN"/>
        </w:rPr>
      </w:pPr>
    </w:p>
    <w:p w14:paraId="37D6DBD9">
      <w:pPr>
        <w:sectPr>
          <w:footerReference r:id="rId3" w:type="default"/>
          <w:pgSz w:w="11906" w:h="16838"/>
          <w:pgMar w:top="1440" w:right="1800" w:bottom="1440" w:left="1800" w:header="0" w:footer="0" w:gutter="0"/>
          <w:pgNumType w:fmt="decimal"/>
          <w:cols w:space="720" w:num="1"/>
          <w:formProt w:val="0"/>
          <w:docGrid w:type="lines" w:linePitch="312" w:charSpace="91954"/>
        </w:sectPr>
      </w:pPr>
    </w:p>
    <w:sdt>
      <w:sdtPr>
        <w:id w:val="13"/>
        <w:docPartObj>
          <w:docPartGallery w:val="Table of Contents"/>
          <w:docPartUnique/>
        </w:docPartObj>
      </w:sdtPr>
      <w:sdtContent>
        <w:p w14:paraId="74A36A66">
          <w:pPr>
            <w:pStyle w:val="6"/>
            <w:spacing w:beforeLines="0" w:beforeAutospacing="0" w:afterLines="0" w:afterAutospacing="0" w:line="240" w:lineRule="auto"/>
            <w:jc w:val="center"/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</w:rPr>
            <w:t>目录</w:t>
          </w:r>
        </w:p>
        <w:p w14:paraId="554BDB41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sz w:val="28"/>
              <w:szCs w:val="28"/>
              <w:shd w:val="clear" w:color="FFFFFF" w:fill="D9D9D9"/>
              <w:lang w:val="en-US" w:eastAsia="zh-CN"/>
            </w:rPr>
            <w:instrText xml:space="preserve">TOC \o "1-2" \u \h</w:instrText>
          </w:r>
          <w:r>
            <w:rPr>
              <w:rFonts w:hint="eastAsia" w:ascii="方正仿宋_GB2312" w:hAnsi="方正仿宋_GB2312" w:eastAsia="方正仿宋_GB2312" w:cs="方正仿宋_GB2312"/>
              <w:b/>
              <w:sz w:val="28"/>
              <w:szCs w:val="28"/>
              <w:shd w:val="clear" w:color="FFFFFF" w:fill="D9D9D9"/>
              <w:lang w:val="en-US" w:eastAsia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"_Toc6320"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一、 系统访问方式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_Toc6320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04BC2435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"_Toc18394"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（1） 律师用户登陆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_Toc18394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409DD68A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"_Toc18012"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（2） 律所（单位）用户登陆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_Toc18012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04466E0F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"_Toc16001"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二、 律师缴纳方式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_Toc16001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5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199142E1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"_Toc29702"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三、 律所缴纳方式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_Toc29702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8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13409652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"_Toc20173"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四、 发票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_Toc20173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459A840F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"_Toc3303"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1、 下载方式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_Toc3303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516F6C70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 HYPERLINK \l "_Toc26104"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  <w:lang w:val="en-US" w:eastAsia="zh-CN"/>
            </w:rPr>
            <w:t>2、 修正方式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instrText xml:space="preserve">PAGEREF _Toc26104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sz w:val="28"/>
              <w:szCs w:val="28"/>
              <w:shd w:val="clear" w:color="FFFFFF" w:fill="D9D9D9"/>
            </w:rPr>
            <w:fldChar w:fldCharType="end"/>
          </w:r>
        </w:p>
        <w:p w14:paraId="50653D95">
          <w:pPr>
            <w:pStyle w:val="8"/>
            <w:rPr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  <w:shd w:val="clear" w:color="FFFFFF" w:fill="D9D9D9"/>
              <w:lang w:val="en-US" w:eastAsia="zh-CN"/>
            </w:rPr>
            <w:fldChar w:fldCharType="end"/>
          </w:r>
        </w:p>
        <w:p w14:paraId="598D0F84">
          <w:pPr>
            <w:sectPr>
              <w:footerReference r:id="rId4" w:type="default"/>
              <w:pgSz w:w="11906" w:h="16838"/>
              <w:pgMar w:top="1440" w:right="1800" w:bottom="1440" w:left="1800" w:header="0" w:footer="0" w:gutter="0"/>
              <w:pgNumType w:fmt="decimal"/>
              <w:cols w:space="720" w:num="1"/>
              <w:formProt w:val="0"/>
              <w:docGrid w:type="lines" w:linePitch="312" w:charSpace="91954"/>
            </w:sectPr>
          </w:pPr>
        </w:p>
      </w:sdtContent>
    </w:sdt>
    <w:p w14:paraId="3F92B6A5">
      <w:pPr>
        <w:pStyle w:val="8"/>
        <w:rPr>
          <w:lang w:val="en-US" w:eastAsia="zh-CN"/>
        </w:rPr>
      </w:pPr>
    </w:p>
    <w:p w14:paraId="1EBDF6D1">
      <w:pPr>
        <w:pStyle w:val="8"/>
        <w:numPr>
          <w:ilvl w:val="0"/>
          <w:numId w:val="1"/>
        </w:numPr>
        <w:outlineLvl w:val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bookmarkStart w:id="0" w:name="_Toc6320"/>
      <w:bookmarkStart w:id="1" w:name="_Toc5502"/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系统访问方式</w:t>
      </w:r>
      <w:bookmarkEnd w:id="0"/>
      <w:bookmarkEnd w:id="1"/>
    </w:p>
    <w:p w14:paraId="006C0E78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系统统一访问网址为：tianjin.lsfwpt.cn。</w:t>
      </w:r>
    </w:p>
    <w:p w14:paraId="32970F46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登陆</w:t>
      </w:r>
    </w:p>
    <w:p w14:paraId="0AE5CA6D">
      <w:pPr>
        <w:pStyle w:val="8"/>
        <w:numPr>
          <w:ilvl w:val="0"/>
          <w:numId w:val="0"/>
        </w:numPr>
        <w:ind w:firstLine="320" w:firstLineChars="100"/>
        <w:outlineLvl w:val="1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bookmarkStart w:id="2" w:name="_Toc18394"/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（1） 律师用户登陆</w:t>
      </w:r>
      <w:bookmarkEnd w:id="2"/>
    </w:p>
    <w:p w14:paraId="2A0E6214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　用户名为律师个人身份证号或执业证号；密码与预约会见平台的密码一致。如果没有注册预约会见平台，默认密码为“Tj+身份证号”。</w:t>
      </w:r>
    </w:p>
    <w:p w14:paraId="759204F8">
      <w:pPr>
        <w:pStyle w:val="8"/>
        <w:numPr>
          <w:ilvl w:val="0"/>
          <w:numId w:val="0"/>
        </w:numPr>
        <w:outlineLvl w:val="1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bookmarkStart w:id="3" w:name="_Toc18012"/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（2） 律所（单位）用户登陆</w:t>
      </w:r>
      <w:bookmarkEnd w:id="3"/>
    </w:p>
    <w:p w14:paraId="351384BA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　律所的用户名为律所许可证号（单位的用户名为社会统一信用代码）；密码与备案系统密码一致。如果没有注册备案系统，默认密码为“Tj+社会统一信用代码”。</w:t>
      </w:r>
    </w:p>
    <w:p w14:paraId="6A0F6DD9">
      <w:pPr>
        <w:pStyle w:val="8"/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（3）登陆后选择进入市律协会员系统</w:t>
      </w:r>
    </w:p>
    <w:p w14:paraId="6A1B0818">
      <w:pPr>
        <w:pStyle w:val="8"/>
        <w:numPr>
          <w:ilvl w:val="0"/>
          <w:numId w:val="2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相关注意事项</w:t>
      </w:r>
    </w:p>
    <w:p w14:paraId="6764851E">
      <w:pPr>
        <w:pStyle w:val="8"/>
        <w:numPr>
          <w:ilvl w:val="0"/>
          <w:numId w:val="0"/>
        </w:numPr>
        <w:ind w:firstLine="320" w:firstLineChars="10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（1）公司、公职、法援类型律师使用律师个人账户登录平台进行缴费（公职律师所在单位可使用单位账户登陆平台进行缴费），其他用户以律所为单位统一缴纳会费，使用律师事务所账户统一缴纳。</w:t>
      </w:r>
    </w:p>
    <w:p w14:paraId="5EA7C6AB">
      <w:pPr>
        <w:pStyle w:val="8"/>
        <w:numPr>
          <w:ilvl w:val="0"/>
          <w:numId w:val="0"/>
        </w:numPr>
        <w:ind w:firstLine="320" w:firstLineChars="10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（2）因系统技术特点所限，请使用谷歌浏览器、360浏览器急速模式、搜狗浏览器、火狐浏览器等进行访问，以便达到最佳效果。</w:t>
      </w:r>
    </w:p>
    <w:p w14:paraId="38D0EC29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缴费方式：会费缴纳仅可使用网上缴费渠道，会员登录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天津市律师综合服务平台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（以下简称平台）http://tianjin.lsfwpt.com/进行缴费。</w:t>
      </w:r>
    </w:p>
    <w:p w14:paraId="103BE8DD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缴纳会费时间：每年的会费缴纳时间以律师协会官网（http://www.china-lawfirm.com）公布时间为准。</w:t>
      </w:r>
    </w:p>
    <w:p w14:paraId="77A63B14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本次会费缴纳支付方式如下：</w:t>
      </w:r>
    </w:p>
    <w:p w14:paraId="1B94BD48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（1）微信、支付宝支付，支持个人用户支付5万元及以下会费。</w:t>
      </w:r>
    </w:p>
    <w:p w14:paraId="6C3C8274">
      <w:pPr>
        <w:pStyle w:val="8"/>
        <w:numPr>
          <w:ilvl w:val="0"/>
          <w:numId w:val="0"/>
        </w:numPr>
        <w:rPr>
          <w:rFonts w:ascii="仿宋" w:hAnsi="仿宋" w:eastAsia="仿宋" w:cs="仿宋"/>
          <w:color w:val="0000FF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（2）公对公网上支付，公司网银跳转付款适用于以下银行：中行、农行、工行、建行、交行、邮储、招行、浦发、民生、光大、华夏、广发、中信、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平安、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北京银行、上海银行、浙商银行、柳州银行、宁波银行、青岛银行、桂林银行、浙江省农村信用社联合社。</w:t>
      </w:r>
    </w:p>
    <w:p w14:paraId="1F29C6E9">
      <w:pPr>
        <w:pStyle w:val="8"/>
        <w:numPr>
          <w:ilvl w:val="0"/>
          <w:numId w:val="0"/>
        </w:numPr>
        <w:rPr>
          <w:b/>
          <w:bCs/>
          <w:color w:val="auto"/>
        </w:rPr>
      </w:pPr>
      <w:r>
        <w:rPr>
          <w:rFonts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 xml:space="preserve"> 选择公对公网上支付需要提前开通B2B网上支付/B2B电子商务功能后方可使用。</w:t>
      </w:r>
    </w:p>
    <w:p w14:paraId="1CCEDF87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（3）银行转账，如（1）（2）两种方式均不适用可采用该方式支付，在缴费界面点击查看账号（一所一账户），请主动登录网银填写付款信息，付款名称：天津市律师协会，账号即</w:t>
      </w:r>
      <w:r>
        <w:rPr>
          <w:rFonts w:ascii="仿宋" w:hAnsi="仿宋" w:eastAsia="仿宋" w:cs="仿宋"/>
          <w:color w:val="auto"/>
          <w:sz w:val="32"/>
          <w:szCs w:val="32"/>
          <w:shd w:val="clear" w:fill="auto"/>
          <w:lang w:val="en-US" w:eastAsia="zh-CN"/>
        </w:rPr>
        <w:t>25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位专属账号，开户行：招商银行天津分行营业部。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7.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系统问题：关于平台网站页面，找回密码，申请缴费等操作问题，</w:t>
      </w:r>
      <w:r>
        <w:rPr>
          <w:rFonts w:ascii="仿宋_GB2312" w:hAnsi="仿宋_GB2312" w:eastAsia="仿宋_GB2312" w:cs="宋体"/>
          <w:color w:val="auto"/>
          <w:kern w:val="0"/>
          <w:sz w:val="32"/>
          <w:szCs w:val="32"/>
          <w:lang w:val="en-US" w:eastAsia="zh-CN" w:bidi="ar-SA"/>
        </w:rPr>
        <w:t>可以拨打客服电话：400-002-0028或联系系统维护人员电话进行咨询（胡技术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ascii="仿宋_GB2312" w:hAnsi="仿宋_GB2312" w:eastAsia="仿宋_GB2312" w:cs="宋体"/>
          <w:color w:val="auto"/>
          <w:kern w:val="0"/>
          <w:sz w:val="32"/>
          <w:szCs w:val="32"/>
          <w:lang w:val="en-US" w:eastAsia="zh-CN" w:bidi="ar-SA"/>
        </w:rPr>
        <w:t>联系电话：18526784196）。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关于转账汇款，银行登录等支付问题请联系13752667492（王老师）。</w:t>
      </w:r>
    </w:p>
    <w:p w14:paraId="5318B159">
      <w:pPr>
        <w:pStyle w:val="8"/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br w:type="page"/>
      </w:r>
    </w:p>
    <w:p w14:paraId="683BD592">
      <w:pPr>
        <w:pStyle w:val="8"/>
        <w:numPr>
          <w:ilvl w:val="0"/>
          <w:numId w:val="1"/>
        </w:numPr>
        <w:outlineLvl w:val="0"/>
        <w:rPr>
          <w:color w:val="auto"/>
          <w:sz w:val="28"/>
          <w:szCs w:val="28"/>
          <w:lang w:val="en-US" w:eastAsia="zh-CN"/>
        </w:rPr>
      </w:pPr>
      <w:bookmarkStart w:id="4" w:name="_Toc10162"/>
      <w:bookmarkStart w:id="5" w:name="_Toc16001"/>
      <w:r>
        <w:rPr>
          <w:color w:val="auto"/>
          <w:sz w:val="28"/>
          <w:szCs w:val="28"/>
          <w:lang w:val="en-US" w:eastAsia="zh-CN"/>
        </w:rPr>
        <w:t>律师缴纳方式</w:t>
      </w:r>
      <w:bookmarkEnd w:id="4"/>
      <w:bookmarkEnd w:id="5"/>
    </w:p>
    <w:p w14:paraId="44899B0A">
      <w:pPr>
        <w:pStyle w:val="8"/>
        <w:numPr>
          <w:ilvl w:val="0"/>
          <w:numId w:val="3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缴费位置</w:t>
      </w:r>
    </w:p>
    <w:p w14:paraId="1A8A9141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进入系统后，在系统左侧菜单栏的年检注册，年检缴费菜单内</w:t>
      </w:r>
    </w:p>
    <w:p w14:paraId="6389D1AF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66690" cy="2570480"/>
            <wp:effectExtent l="0" t="0" r="0" b="0"/>
            <wp:docPr id="5" name="图片 1" descr="1646635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646635363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A689">
      <w:pPr>
        <w:pStyle w:val="8"/>
        <w:numPr>
          <w:ilvl w:val="0"/>
          <w:numId w:val="3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找到您当前年度的缴费记录，点击缴费</w:t>
      </w:r>
    </w:p>
    <w:p w14:paraId="13352B1F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66690" cy="2570480"/>
            <wp:effectExtent l="0" t="0" r="0" b="0"/>
            <wp:docPr id="6" name="图片 2" descr="1646635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646635702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3073">
      <w:pPr>
        <w:pStyle w:val="8"/>
        <w:rPr>
          <w:sz w:val="28"/>
          <w:szCs w:val="28"/>
          <w:lang w:val="en-US" w:eastAsia="zh-CN"/>
        </w:rPr>
      </w:pPr>
      <w:r>
        <w:br w:type="page"/>
      </w:r>
    </w:p>
    <w:p w14:paraId="1C19CB49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3.在点击开的页面内确认个人缴费金额等信息是否有误，确认无误点击缴费按钮进行缴费</w:t>
      </w:r>
    </w:p>
    <w:p w14:paraId="5163E975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73040" cy="3236595"/>
            <wp:effectExtent l="0" t="0" r="0" b="0"/>
            <wp:docPr id="7" name="图片 3" descr="1646635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646635746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62BE">
      <w:pPr>
        <w:pStyle w:val="8"/>
        <w:numPr>
          <w:ilvl w:val="0"/>
          <w:numId w:val="0"/>
        </w:numP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4.填写对应的开票信息后点击支付宝或微信的图标进行缴费</w:t>
      </w:r>
    </w:p>
    <w:p w14:paraId="1A483FB1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69865" cy="2894330"/>
            <wp:effectExtent l="0" t="0" r="0" b="0"/>
            <wp:docPr id="8" name="图片 4" descr="1646635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646635899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D1BD">
      <w:pPr>
        <w:pStyle w:val="8"/>
        <w:rPr>
          <w:sz w:val="28"/>
          <w:szCs w:val="28"/>
          <w:lang w:val="en-US" w:eastAsia="zh-CN"/>
        </w:rPr>
      </w:pPr>
      <w:r>
        <w:br w:type="page"/>
      </w:r>
    </w:p>
    <w:p w14:paraId="3E33952B">
      <w:pPr>
        <w:pStyle w:val="8"/>
        <w:numPr>
          <w:ilvl w:val="0"/>
          <w:numId w:val="0"/>
        </w:numP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5.使用对应的支付软件，扫码支付即可</w:t>
      </w:r>
    </w:p>
    <w:p w14:paraId="09A7C5A0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73675" cy="4475480"/>
            <wp:effectExtent l="0" t="0" r="0" b="0"/>
            <wp:docPr id="9" name="图片 5" descr="1646635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646635970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AEBF">
      <w:pPr>
        <w:pStyle w:val="8"/>
        <w:numPr>
          <w:ilvl w:val="0"/>
          <w:numId w:val="0"/>
        </w:numP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6.支付成功后，正常10分钟内系统会自动识别并修正缴费状态。如已支付但系统内未正常变更缴费状态，请联系系统客服400-002-0028</w:t>
      </w:r>
    </w:p>
    <w:p w14:paraId="4259218E">
      <w:pPr>
        <w:pStyle w:val="8"/>
        <w:rPr>
          <w:sz w:val="28"/>
          <w:szCs w:val="28"/>
          <w:lang w:val="en-US" w:eastAsia="zh-CN"/>
        </w:rPr>
      </w:pPr>
      <w:r>
        <w:br w:type="page"/>
      </w:r>
    </w:p>
    <w:p w14:paraId="277AD3BF">
      <w:pPr>
        <w:pStyle w:val="8"/>
        <w:numPr>
          <w:ilvl w:val="0"/>
          <w:numId w:val="1"/>
        </w:numPr>
        <w:outlineLvl w:val="0"/>
        <w:rPr>
          <w:color w:val="auto"/>
          <w:sz w:val="28"/>
          <w:szCs w:val="28"/>
          <w:lang w:val="en-US" w:eastAsia="zh-CN"/>
        </w:rPr>
      </w:pPr>
      <w:bookmarkStart w:id="6" w:name="_Toc32699"/>
      <w:bookmarkStart w:id="7" w:name="_Toc29702"/>
      <w:r>
        <w:rPr>
          <w:color w:val="auto"/>
          <w:sz w:val="28"/>
          <w:szCs w:val="28"/>
          <w:lang w:val="en-US" w:eastAsia="zh-CN"/>
        </w:rPr>
        <w:t>律所缴纳方式</w:t>
      </w:r>
      <w:bookmarkEnd w:id="6"/>
      <w:bookmarkEnd w:id="7"/>
    </w:p>
    <w:p w14:paraId="19B5D0A7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1.缴费位置</w:t>
      </w:r>
    </w:p>
    <w:p w14:paraId="615AEE99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进入系统后，在系统左侧菜单栏的年检注册，律所会费通知单菜单内，律师会费查询可以检查所下律师会费情况</w:t>
      </w:r>
    </w:p>
    <w:p w14:paraId="6812B76C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66690" cy="2570480"/>
            <wp:effectExtent l="0" t="0" r="0" b="0"/>
            <wp:docPr id="10" name="图片 6" descr="1646635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1646635363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3257">
      <w:pPr>
        <w:pStyle w:val="8"/>
        <w:numPr>
          <w:ilvl w:val="0"/>
          <w:numId w:val="4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找到您当前年度的缴费记录，点击查看缴费按钮</w:t>
      </w:r>
    </w:p>
    <w:p w14:paraId="2D4AA577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66690" cy="2570480"/>
            <wp:effectExtent l="0" t="0" r="0" b="0"/>
            <wp:docPr id="11" name="图片 7" descr="16466361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646636193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EA3F">
      <w:pPr>
        <w:pStyle w:val="8"/>
        <w:rPr>
          <w:sz w:val="28"/>
          <w:szCs w:val="28"/>
          <w:lang w:val="en-US" w:eastAsia="zh-CN"/>
        </w:rPr>
      </w:pPr>
      <w:r>
        <w:br w:type="page"/>
      </w:r>
    </w:p>
    <w:p w14:paraId="1DD51E16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3.在新打开的页面内检查缴费信息是否有问题，无问题则点击缴费</w:t>
      </w:r>
    </w:p>
    <w:p w14:paraId="36CDAC51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332730" cy="2602865"/>
            <wp:effectExtent l="0" t="0" r="0" b="0"/>
            <wp:docPr id="12" name="图片 8" descr="16466362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1646636246(1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C855">
      <w:pPr>
        <w:pStyle w:val="8"/>
        <w:numPr>
          <w:ilvl w:val="0"/>
          <w:numId w:val="0"/>
        </w:numP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8"/>
          <w:szCs w:val="28"/>
          <w:lang w:val="en-US" w:eastAsia="zh-CN"/>
        </w:rPr>
        <w:t>4.在弹出的页面内填写好发票抬头信息，根据您的缴费需求选择不同的缴费方</w:t>
      </w: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式，点击后即可缴费。微信、支付宝时弹出二维码，扫描即可缴费，银行转账时打开一个专属于您所的缴费账户，向这个账户转账即可（转账前，仔细阅读弹屏提示），选择公对公支付，选择好您的银行后即可进入对应银行的缴费通道内。（银行转账请您仔细核对金额后再进行转账）</w:t>
      </w:r>
    </w:p>
    <w:p w14:paraId="09FCF9F9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71135" cy="3036570"/>
            <wp:effectExtent l="0" t="0" r="0" b="0"/>
            <wp:docPr id="13" name="图片 9" descr="16468936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1646893661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0A47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73040" cy="4378960"/>
            <wp:effectExtent l="0" t="0" r="0" b="0"/>
            <wp:docPr id="14" name="图片 14" descr="f1abe79ff0aa007768433311cb7a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1abe79ff0aa007768433311cb7a8c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CB23">
      <w:pPr>
        <w:pStyle w:val="8"/>
        <w:numPr>
          <w:ilvl w:val="0"/>
          <w:numId w:val="1"/>
        </w:numPr>
        <w:outlineLvl w:val="0"/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13471"/>
      <w:bookmarkStart w:id="9" w:name="_Toc20173"/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发票</w:t>
      </w:r>
      <w:bookmarkEnd w:id="8"/>
      <w:bookmarkEnd w:id="9"/>
    </w:p>
    <w:p w14:paraId="7FA46D6D">
      <w:pPr>
        <w:pStyle w:val="8"/>
        <w:numPr>
          <w:ilvl w:val="0"/>
          <w:numId w:val="5"/>
        </w:numPr>
        <w:outlineLvl w:val="1"/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0" w:name="_Toc3303"/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1234440</wp:posOffset>
            </wp:positionV>
            <wp:extent cx="5715000" cy="2539365"/>
            <wp:effectExtent l="0" t="0" r="0" b="13335"/>
            <wp:wrapSquare wrapText="bothSides"/>
            <wp:docPr id="15" name="图片 10" descr="1649211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1649211209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下载方式</w:t>
      </w:r>
      <w:bookmarkEnd w:id="10"/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登录原缴费账号下载电子版“天津市财政票据”作为单位报销凭证，根据下图菜单位置进行票据的下载和错误票据的换开申请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4FD38336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</w:p>
    <w:p w14:paraId="6DDA851C">
      <w:pPr>
        <w:pStyle w:val="8"/>
        <w:numPr>
          <w:ilvl w:val="0"/>
          <w:numId w:val="5"/>
        </w:numPr>
        <w:outlineLvl w:val="1"/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" w:name="_Toc26104"/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修正方式</w:t>
      </w:r>
      <w:bookmarkEnd w:id="11"/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如票据内容错误等情况，可以点击申请重开按钮，填写重开原因、票据信息后等待协会开具新的票据。错误票据的对应“冲红票据”可在下载发票处下载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60F83AF">
      <w:pPr>
        <w:pStyle w:val="8"/>
        <w:numPr>
          <w:ilvl w:val="0"/>
          <w:numId w:val="0"/>
        </w:numPr>
        <w:rPr>
          <w:sz w:val="28"/>
          <w:szCs w:val="28"/>
          <w:lang w:val="en-US" w:eastAsia="zh-CN"/>
        </w:rPr>
      </w:pPr>
      <w:r>
        <w:drawing>
          <wp:inline distT="0" distB="0" distL="0" distR="0">
            <wp:extent cx="5266690" cy="2339975"/>
            <wp:effectExtent l="0" t="0" r="0" b="0"/>
            <wp:docPr id="16" name="图片 11" descr="1649211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1649211209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0" w:footer="0" w:gutter="0"/>
      <w:pgNumType w:fmt="decimal"/>
      <w:cols w:space="720" w:num="1"/>
      <w:formProt w:val="0"/>
      <w:docGrid w:type="lines" w:linePitch="312" w:charSpace="919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1" w:fontKey="{272F4AEE-DD4D-4EEF-A815-0AF014C571CC}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2" w:fontKey="{F006AA7D-ED3C-4B2A-A648-811DBB5D6B51}"/>
  </w:font>
  <w:font w:name="方正小标宋简体">
    <w:panose1 w:val="02000000000000000000"/>
    <w:charset w:val="86"/>
    <w:family w:val="roman"/>
    <w:pitch w:val="default"/>
    <w:sig w:usb0="00000001" w:usb1="08000000" w:usb2="00000000" w:usb3="00000000" w:csb0="00040000" w:csb1="00000000"/>
    <w:embedRegular r:id="rId3" w:fontKey="{E550041E-775D-4907-82C8-B67755C0589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3AE1DA46-5731-4741-AACC-3832EE6126A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319E4D24-EB59-4911-B614-8CB6B660D0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A0ACC">
    <w:pPr>
      <w:pStyle w:val="7"/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29435" cy="139065"/>
              <wp:effectExtent l="0" t="0" r="0" b="0"/>
              <wp:wrapNone/>
              <wp:docPr id="1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3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7C1E96D">
                          <w:pPr>
                            <w:pStyle w:val="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" o:spid="_x0000_s1026" o:spt="1" style="position:absolute;left:0pt;margin-top:0.05pt;height:10.95pt;width:144.05pt;mso-position-horizontal:center;mso-position-horizontal-relative:margin;z-index:-251657216;mso-width-relative:page;mso-height-relative:page;" filled="f" stroked="f" coordsize="21600,21600" o:allowincell="f" o:gfxdata="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cLgSfTAAAABAEAAA8AAAAAAAAAAQAgAAAAIgAAAGRycy9kb3ducmV2LnhtbFBLAQIU&#10;ABQAAAAIAIdO4kBj7K/rvwEAAIADAAAOAAAAAAAAAAEAIAAAACIBAABkcnMvZTJvRG9jLnhtbFBL&#10;BQYAAAAABgAGAFkBAABT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C1E96D">
                    <w:pPr>
                      <w:pStyle w:val="7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4B668D">
    <w:pPr>
      <w:pStyle w:val="7"/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29435" cy="139065"/>
              <wp:effectExtent l="0" t="0" r="0" b="0"/>
              <wp:wrapNone/>
              <wp:docPr id="3" name="文本框 10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3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330933DC">
                          <w:pPr>
                            <w:pStyle w:val="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_0" o:spid="_x0000_s1026" o:spt="1" style="position:absolute;left:0pt;margin-top:0.05pt;height:10.95pt;width:144.05pt;mso-position-horizontal:center;mso-position-horizontal-relative:margin;z-index:-251657216;mso-width-relative:page;mso-height-relative:page;" filled="f" stroked="f" coordsize="21600,21600" o:allowincell="f" o:gfxdata="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9wuBJ9MAAAAEAQAADwAAAAAAAAABACAAAAAiAAAAZHJzL2Rvd25yZXYueG1sUEsB&#10;AhQAFAAAAAgAh07iQGIA3cPBAQAAggMAAA4AAAAAAAAAAQAgAAAAIgEAAGRycy9lMm9Eb2MueG1s&#10;UEsFBgAAAAAGAAYAWQEAAFU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0933DC">
                    <w:pPr>
                      <w:pStyle w:val="7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7E66B">
    <w:pPr>
      <w:pStyle w:val="7"/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29435" cy="139065"/>
              <wp:effectExtent l="0" t="0" r="0" b="0"/>
              <wp:wrapNone/>
              <wp:docPr id="17" name="文本框 10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3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1ABECBEE">
                          <w:pPr>
                            <w:pStyle w:val="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_1" o:spid="_x0000_s1026" o:spt="1" style="position:absolute;left:0pt;margin-top:0.05pt;height:10.95pt;width:144.05pt;mso-position-horizontal:center;mso-position-horizontal-relative:margin;z-index:-251657216;mso-width-relative:page;mso-height-relative:page;" filled="f" stroked="f" coordsize="21600,21600" o:allowincell="f" o:gfxdata="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9wuBJ9MAAAAEAQAADwAAAAAAAAABACAAAAAiAAAAZHJzL2Rvd25yZXYueG1s&#10;UEsBAhQAFAAAAAgAh07iQHtB0iDEAQAAgwMAAA4AAAAAAAAAAQAgAAAAIgEAAGRycy9lMm9Eb2Mu&#10;eG1sUEsFBgAAAAAGAAYAWQEAAFg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BECBEE">
                    <w:pPr>
                      <w:pStyle w:val="7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0248C179"/>
    <w:multiLevelType w:val="multilevel"/>
    <w:tmpl w:val="0248C179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03D62ECE"/>
    <w:multiLevelType w:val="multilevel"/>
    <w:tmpl w:val="03D62ECE"/>
    <w:lvl w:ilvl="0" w:tentative="0">
      <w:start w:val="1"/>
      <w:numFmt w:val="taiwaneseCountingThousand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autoHyphenation/>
  <w:compat>
    <w:balanceSingleByteDoubleByteWidth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MDEyNzNlNDc1NTQ2M2Y1MzA2MTJiMTFmNTg2ZTkifQ=="/>
  </w:docVars>
  <w:rsids>
    <w:rsidRoot w:val="00000000"/>
    <w:rsid w:val="05FA73C5"/>
    <w:rsid w:val="0815790E"/>
    <w:rsid w:val="0BC4572B"/>
    <w:rsid w:val="1CF759EA"/>
    <w:rsid w:val="22C0330E"/>
    <w:rsid w:val="25454AB1"/>
    <w:rsid w:val="26E16B53"/>
    <w:rsid w:val="284C045D"/>
    <w:rsid w:val="2960467D"/>
    <w:rsid w:val="2E74319A"/>
    <w:rsid w:val="32ED05B6"/>
    <w:rsid w:val="3780797C"/>
    <w:rsid w:val="3FC405B6"/>
    <w:rsid w:val="41126AEB"/>
    <w:rsid w:val="44C14F4F"/>
    <w:rsid w:val="45E22853"/>
    <w:rsid w:val="46C6427C"/>
    <w:rsid w:val="473C0168"/>
    <w:rsid w:val="4BBD36B5"/>
    <w:rsid w:val="553B2C00"/>
    <w:rsid w:val="5A854D88"/>
    <w:rsid w:val="609D4A8D"/>
    <w:rsid w:val="681C2B17"/>
    <w:rsid w:val="71952C23"/>
    <w:rsid w:val="73090F35"/>
    <w:rsid w:val="7631611E"/>
    <w:rsid w:val="7D3F340F"/>
    <w:rsid w:val="7FE074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autoRedefine/>
    <w:qFormat/>
    <w:uiPriority w:val="0"/>
  </w:style>
  <w:style w:type="character" w:customStyle="1" w:styleId="5">
    <w:name w:val="索引链接"/>
    <w:basedOn w:val="4"/>
    <w:autoRedefine/>
    <w:qFormat/>
    <w:uiPriority w:val="0"/>
  </w:style>
  <w:style w:type="paragraph" w:customStyle="1" w:styleId="6">
    <w:name w:val="正文11"/>
    <w:autoRedefine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0"/>
      <w:sz w:val="20"/>
      <w:szCs w:val="20"/>
      <w:lang w:val="en-US" w:eastAsia="zh-CN" w:bidi="hi-IN"/>
    </w:rPr>
  </w:style>
  <w:style w:type="paragraph" w:customStyle="1" w:styleId="7">
    <w:name w:val="页脚1"/>
    <w:basedOn w:val="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8">
    <w:name w:val="正文1"/>
    <w:autoRedefine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paragraph" w:customStyle="1" w:styleId="9">
    <w:name w:val="标题 31"/>
    <w:basedOn w:val="8"/>
    <w:next w:val="8"/>
    <w:autoRedefine/>
    <w:unhideWhenUsed/>
    <w:qFormat/>
    <w:uiPriority w:val="0"/>
    <w:pPr>
      <w:keepNext/>
      <w:keepLines/>
      <w:spacing w:before="260" w:beforeAutospacing="0" w:after="260" w:afterAutospacing="0" w:line="410" w:lineRule="auto"/>
      <w:outlineLvl w:val="2"/>
    </w:pPr>
    <w:rPr>
      <w:b/>
      <w:sz w:val="32"/>
    </w:rPr>
  </w:style>
  <w:style w:type="paragraph" w:customStyle="1" w:styleId="10">
    <w:name w:val="WPSOffice手动目录 1"/>
    <w:autoRedefine/>
    <w:qFormat/>
    <w:uiPriority w:val="0"/>
    <w:pPr>
      <w:widowControl/>
      <w:suppressAutoHyphens w:val="0"/>
      <w:bidi w:val="0"/>
      <w:spacing w:beforeLines="0" w:beforeAutospacing="0" w:afterLines="0" w:afterAutospacing="0"/>
      <w:jc w:val="left"/>
    </w:pPr>
    <w:rPr>
      <w:rFonts w:ascii="Times New Roman" w:hAnsi="Times New Roman" w:eastAsia="宋体" w:cs="Times New Roman"/>
      <w:color w:val="auto"/>
      <w:kern w:val="0"/>
      <w:sz w:val="20"/>
      <w:szCs w:val="20"/>
      <w:lang w:val="en-US" w:eastAsia="zh-CN" w:bidi="hi-IN"/>
    </w:rPr>
  </w:style>
  <w:style w:type="paragraph" w:customStyle="1" w:styleId="11">
    <w:name w:val="WPSOffice手动目录 2"/>
    <w:autoRedefine/>
    <w:qFormat/>
    <w:uiPriority w:val="0"/>
    <w:pPr>
      <w:widowControl/>
      <w:suppressAutoHyphens w:val="0"/>
      <w:bidi w:val="0"/>
      <w:spacing w:beforeLines="0" w:beforeAutospacing="0" w:afterLines="0" w:afterAutospacing="0"/>
      <w:jc w:val="left"/>
    </w:pPr>
    <w:rPr>
      <w:rFonts w:ascii="Times New Roman" w:hAnsi="Times New Roman" w:eastAsia="宋体" w:cs="Times New Roman"/>
      <w:color w:val="auto"/>
      <w:kern w:val="0"/>
      <w:sz w:val="20"/>
      <w:szCs w:val="20"/>
      <w:lang w:val="en-US"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1524</Words>
  <Characters>1658</Characters>
  <Paragraphs>62</Paragraphs>
  <TotalTime>6</TotalTime>
  <ScaleCrop>false</ScaleCrop>
  <LinksUpToDate>false</LinksUpToDate>
  <CharactersWithSpaces>1696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2022-03-07T06:27:00Z</dcterms:created>
  <dc:creator>胡</dc:creator>
  <cp:lastModifiedBy>市律协会员部</cp:lastModifiedBy>
  <dcterms:modified xsi:type="dcterms:W3CDTF">2025-04-07T02:19:38Z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4D875764EB954F978F721EA7CD78F913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eyJoZGlkIjoiZWVkMDEyNzNlNDc1NTQ2M2Y1MzA2MTJiMTFmNTg2ZTkiLCJ1c2VySWQiOiIxMzgyODkyMTMxIn0=</vt:lpwstr>
  </property>
</Properties>
</file>